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СОВЕТ НАРОДНЫХ ДЕПУТАТОВ</w:t>
      </w:r>
    </w:p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Pr="0085248A">
        <w:rPr>
          <w:b/>
          <w:sz w:val="28"/>
          <w:szCs w:val="28"/>
        </w:rPr>
        <w:t xml:space="preserve"> СЕЛЬСКОГО ПОСЕЛЕНИЯ</w:t>
      </w:r>
    </w:p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ЛИСКИНСКОГО МУНИЦИПАЛЬНОГО РАЙОНА</w:t>
      </w:r>
    </w:p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ВОРОНЕЖСКОЙ ОБЛАСТИ</w:t>
      </w:r>
    </w:p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</w:t>
      </w:r>
    </w:p>
    <w:p w:rsidR="009F665B" w:rsidRPr="0085248A" w:rsidRDefault="009F665B" w:rsidP="009F665B">
      <w:pPr>
        <w:ind w:firstLine="709"/>
        <w:jc w:val="center"/>
        <w:rPr>
          <w:b/>
          <w:sz w:val="28"/>
          <w:szCs w:val="28"/>
        </w:rPr>
      </w:pPr>
      <w:r w:rsidRPr="0085248A">
        <w:rPr>
          <w:b/>
          <w:sz w:val="28"/>
          <w:szCs w:val="28"/>
        </w:rPr>
        <w:t>РЕШЕНИЕ</w:t>
      </w:r>
    </w:p>
    <w:p w:rsidR="009F665B" w:rsidRDefault="009F665B" w:rsidP="009F665B">
      <w:pPr>
        <w:jc w:val="both"/>
        <w:rPr>
          <w:b/>
          <w:sz w:val="28"/>
          <w:szCs w:val="28"/>
        </w:rPr>
      </w:pPr>
    </w:p>
    <w:p w:rsidR="009F665B" w:rsidRPr="0085248A" w:rsidRDefault="009F665B" w:rsidP="009F665B">
      <w:pPr>
        <w:jc w:val="both"/>
        <w:rPr>
          <w:sz w:val="28"/>
          <w:szCs w:val="28"/>
        </w:rPr>
      </w:pPr>
      <w:r w:rsidRPr="0085248A">
        <w:rPr>
          <w:b/>
          <w:sz w:val="28"/>
          <w:szCs w:val="28"/>
        </w:rPr>
        <w:t>о</w:t>
      </w:r>
      <w:r w:rsidRPr="0085248A">
        <w:rPr>
          <w:sz w:val="28"/>
          <w:szCs w:val="28"/>
        </w:rPr>
        <w:t xml:space="preserve">т   </w:t>
      </w:r>
      <w:r w:rsidR="00316C1F">
        <w:rPr>
          <w:sz w:val="28"/>
          <w:szCs w:val="28"/>
        </w:rPr>
        <w:t>9 «апреля</w:t>
      </w:r>
      <w:r>
        <w:rPr>
          <w:sz w:val="28"/>
          <w:szCs w:val="28"/>
        </w:rPr>
        <w:t xml:space="preserve">» </w:t>
      </w:r>
      <w:r w:rsidR="005F4E3C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 w:rsidRPr="0085248A">
        <w:rPr>
          <w:sz w:val="28"/>
          <w:szCs w:val="28"/>
        </w:rPr>
        <w:t xml:space="preserve">№ </w:t>
      </w:r>
      <w:r w:rsidR="00316C1F">
        <w:rPr>
          <w:sz w:val="28"/>
          <w:szCs w:val="28"/>
        </w:rPr>
        <w:t>43</w:t>
      </w:r>
    </w:p>
    <w:p w:rsidR="009F665B" w:rsidRPr="00C9688F" w:rsidRDefault="009F665B" w:rsidP="009F665B">
      <w:pPr>
        <w:jc w:val="both"/>
      </w:pPr>
      <w:r>
        <w:t xml:space="preserve">           </w:t>
      </w:r>
      <w:r w:rsidRPr="00C9688F">
        <w:t>село Петропавловка</w:t>
      </w:r>
    </w:p>
    <w:p w:rsidR="009F665B" w:rsidRDefault="009F665B" w:rsidP="009F665B">
      <w:pPr>
        <w:rPr>
          <w:b/>
          <w:szCs w:val="28"/>
        </w:rPr>
      </w:pPr>
    </w:p>
    <w:p w:rsidR="00316C1F" w:rsidRPr="00CB560F" w:rsidRDefault="00316C1F" w:rsidP="00316C1F">
      <w:pPr>
        <w:rPr>
          <w:sz w:val="28"/>
          <w:szCs w:val="28"/>
        </w:rPr>
      </w:pPr>
    </w:p>
    <w:p w:rsidR="00316C1F" w:rsidRPr="00CB560F" w:rsidRDefault="00316C1F" w:rsidP="00316C1F">
      <w:pPr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316C1F" w:rsidRPr="00CB560F" w:rsidRDefault="00316C1F" w:rsidP="00316C1F">
      <w:pPr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>Петропавловского сельского поселения Лискинского</w:t>
      </w:r>
    </w:p>
    <w:p w:rsidR="00316C1F" w:rsidRPr="00CB560F" w:rsidRDefault="00316C1F" w:rsidP="00316C1F">
      <w:pPr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 xml:space="preserve">муниципального района Воронежской области </w:t>
      </w:r>
    </w:p>
    <w:p w:rsidR="00316C1F" w:rsidRPr="00CB560F" w:rsidRDefault="00316C1F" w:rsidP="00316C1F">
      <w:pPr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>за 2020 год»</w:t>
      </w:r>
    </w:p>
    <w:p w:rsidR="00316C1F" w:rsidRPr="00CB560F" w:rsidRDefault="00316C1F" w:rsidP="00316C1F">
      <w:pPr>
        <w:tabs>
          <w:tab w:val="left" w:pos="8589"/>
        </w:tabs>
        <w:jc w:val="both"/>
        <w:rPr>
          <w:sz w:val="28"/>
          <w:szCs w:val="28"/>
        </w:rPr>
      </w:pPr>
    </w:p>
    <w:p w:rsidR="00316C1F" w:rsidRPr="00316C1F" w:rsidRDefault="00316C1F" w:rsidP="00316C1F">
      <w:pPr>
        <w:spacing w:line="360" w:lineRule="auto"/>
        <w:ind w:firstLine="709"/>
        <w:jc w:val="both"/>
        <w:rPr>
          <w:sz w:val="28"/>
          <w:szCs w:val="28"/>
        </w:rPr>
      </w:pPr>
      <w:r w:rsidRPr="00CB560F">
        <w:rPr>
          <w:sz w:val="28"/>
          <w:szCs w:val="28"/>
        </w:rPr>
        <w:t xml:space="preserve">В </w:t>
      </w:r>
      <w:proofErr w:type="gramStart"/>
      <w:r w:rsidRPr="00CB560F">
        <w:rPr>
          <w:sz w:val="28"/>
          <w:szCs w:val="28"/>
        </w:rPr>
        <w:t>соответствии</w:t>
      </w:r>
      <w:proofErr w:type="gramEnd"/>
      <w:r w:rsidRPr="00CB560F"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Петропавловского сельского поселения Лискинского муниципального района Воронежской области за 2020 год, Совет народных депутатов П</w:t>
      </w:r>
      <w:r>
        <w:rPr>
          <w:sz w:val="28"/>
          <w:szCs w:val="28"/>
        </w:rPr>
        <w:t>етропавловского сельского поселе</w:t>
      </w:r>
      <w:r w:rsidRPr="00CB560F">
        <w:rPr>
          <w:sz w:val="28"/>
          <w:szCs w:val="28"/>
        </w:rPr>
        <w:t>ния Лискинского муниципального района Воронежской области</w:t>
      </w:r>
    </w:p>
    <w:p w:rsidR="00316C1F" w:rsidRPr="00CB560F" w:rsidRDefault="00316C1F" w:rsidP="00316C1F">
      <w:pPr>
        <w:jc w:val="both"/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 xml:space="preserve">РЕШИЛ:                                        </w:t>
      </w:r>
    </w:p>
    <w:p w:rsidR="00316C1F" w:rsidRPr="00CB560F" w:rsidRDefault="00316C1F" w:rsidP="00316C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560F">
        <w:rPr>
          <w:sz w:val="28"/>
          <w:szCs w:val="28"/>
        </w:rPr>
        <w:t>Утвердить  отчет об исполнении бюджета Петропавловского сельского поселения Лискинского муниципального района Воронежской области за 2020 год, согласно приложению.</w:t>
      </w:r>
    </w:p>
    <w:p w:rsidR="00316C1F" w:rsidRPr="00CB560F" w:rsidRDefault="00316C1F" w:rsidP="00316C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560F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316C1F" w:rsidRPr="00CB560F" w:rsidRDefault="00316C1F" w:rsidP="00316C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560F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Pr="00CB560F">
        <w:rPr>
          <w:sz w:val="28"/>
          <w:szCs w:val="28"/>
        </w:rPr>
        <w:t xml:space="preserve">Петропавловского </w:t>
      </w:r>
      <w:r w:rsidRPr="00CB560F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CB560F">
        <w:rPr>
          <w:color w:val="000000" w:themeColor="text1"/>
          <w:sz w:val="28"/>
          <w:szCs w:val="28"/>
        </w:rPr>
        <w:t>.</w:t>
      </w:r>
    </w:p>
    <w:p w:rsidR="00316C1F" w:rsidRPr="00CB560F" w:rsidRDefault="00316C1F" w:rsidP="00316C1F">
      <w:pPr>
        <w:tabs>
          <w:tab w:val="left" w:pos="1377"/>
        </w:tabs>
        <w:spacing w:line="360" w:lineRule="auto"/>
        <w:jc w:val="both"/>
        <w:rPr>
          <w:sz w:val="28"/>
          <w:szCs w:val="28"/>
        </w:rPr>
      </w:pPr>
      <w:r w:rsidRPr="00CB560F">
        <w:rPr>
          <w:sz w:val="28"/>
          <w:szCs w:val="28"/>
        </w:rPr>
        <w:tab/>
      </w:r>
    </w:p>
    <w:p w:rsidR="00316C1F" w:rsidRPr="00CB560F" w:rsidRDefault="00316C1F" w:rsidP="00316C1F">
      <w:pPr>
        <w:jc w:val="both"/>
        <w:rPr>
          <w:sz w:val="28"/>
          <w:szCs w:val="28"/>
        </w:rPr>
      </w:pPr>
      <w:r w:rsidRPr="00CB560F">
        <w:rPr>
          <w:sz w:val="28"/>
          <w:szCs w:val="28"/>
        </w:rPr>
        <w:t xml:space="preserve">Председатель Совета народных </w:t>
      </w:r>
    </w:p>
    <w:p w:rsidR="00316C1F" w:rsidRPr="00CB560F" w:rsidRDefault="00316C1F" w:rsidP="00316C1F">
      <w:pPr>
        <w:jc w:val="both"/>
        <w:rPr>
          <w:sz w:val="28"/>
          <w:szCs w:val="28"/>
        </w:rPr>
      </w:pPr>
      <w:r w:rsidRPr="00CB560F">
        <w:rPr>
          <w:sz w:val="28"/>
          <w:szCs w:val="28"/>
        </w:rPr>
        <w:t xml:space="preserve">депутатов Петропавловского сельского поселения </w:t>
      </w:r>
    </w:p>
    <w:p w:rsidR="00316C1F" w:rsidRPr="00CB560F" w:rsidRDefault="00316C1F" w:rsidP="00316C1F">
      <w:pPr>
        <w:jc w:val="both"/>
        <w:rPr>
          <w:sz w:val="28"/>
          <w:szCs w:val="28"/>
        </w:rPr>
      </w:pPr>
      <w:r w:rsidRPr="00CB560F">
        <w:rPr>
          <w:sz w:val="28"/>
          <w:szCs w:val="28"/>
        </w:rPr>
        <w:t xml:space="preserve">Лискинского муниципального района </w:t>
      </w:r>
      <w:r w:rsidRPr="00CB560F">
        <w:rPr>
          <w:sz w:val="28"/>
          <w:szCs w:val="28"/>
        </w:rPr>
        <w:tab/>
        <w:t xml:space="preserve">                                      </w:t>
      </w:r>
    </w:p>
    <w:p w:rsidR="00316C1F" w:rsidRPr="00CB560F" w:rsidRDefault="00316C1F" w:rsidP="00316C1F">
      <w:pPr>
        <w:spacing w:line="276" w:lineRule="auto"/>
        <w:rPr>
          <w:sz w:val="28"/>
          <w:szCs w:val="28"/>
        </w:rPr>
      </w:pPr>
      <w:r w:rsidRPr="00CB560F">
        <w:rPr>
          <w:sz w:val="28"/>
          <w:szCs w:val="28"/>
        </w:rPr>
        <w:t xml:space="preserve">Воронежской области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CB560F">
        <w:rPr>
          <w:sz w:val="28"/>
          <w:szCs w:val="28"/>
        </w:rPr>
        <w:t>В.Н.Епихов</w:t>
      </w:r>
      <w:proofErr w:type="spellEnd"/>
    </w:p>
    <w:p w:rsidR="00316C1F" w:rsidRPr="00CB560F" w:rsidRDefault="00316C1F" w:rsidP="00316C1F">
      <w:pPr>
        <w:rPr>
          <w:sz w:val="28"/>
          <w:szCs w:val="28"/>
        </w:rPr>
      </w:pPr>
      <w:r w:rsidRPr="00CB560F">
        <w:rPr>
          <w:sz w:val="28"/>
          <w:szCs w:val="28"/>
        </w:rPr>
        <w:t>Глава Петропавловского сельского поселения</w:t>
      </w:r>
    </w:p>
    <w:p w:rsidR="00316C1F" w:rsidRPr="00CB560F" w:rsidRDefault="00316C1F" w:rsidP="00316C1F">
      <w:pPr>
        <w:rPr>
          <w:sz w:val="28"/>
          <w:szCs w:val="28"/>
        </w:rPr>
      </w:pPr>
      <w:r w:rsidRPr="00CB560F">
        <w:rPr>
          <w:sz w:val="28"/>
          <w:szCs w:val="28"/>
        </w:rPr>
        <w:t xml:space="preserve">Лискинского муниципального района </w:t>
      </w:r>
    </w:p>
    <w:p w:rsidR="00316C1F" w:rsidRPr="00CB560F" w:rsidRDefault="00316C1F" w:rsidP="00316C1F">
      <w:pPr>
        <w:rPr>
          <w:sz w:val="28"/>
          <w:szCs w:val="28"/>
        </w:rPr>
      </w:pPr>
      <w:r w:rsidRPr="00CB560F">
        <w:rPr>
          <w:sz w:val="28"/>
          <w:szCs w:val="28"/>
        </w:rPr>
        <w:t xml:space="preserve">Воронежской области        </w:t>
      </w:r>
      <w:r>
        <w:rPr>
          <w:sz w:val="28"/>
          <w:szCs w:val="28"/>
        </w:rPr>
        <w:t xml:space="preserve">                             </w:t>
      </w:r>
      <w:r w:rsidRPr="00CB560F">
        <w:rPr>
          <w:sz w:val="28"/>
          <w:szCs w:val="28"/>
        </w:rPr>
        <w:t xml:space="preserve">                                В.А.Климо</w:t>
      </w:r>
      <w:r>
        <w:rPr>
          <w:sz w:val="28"/>
          <w:szCs w:val="28"/>
        </w:rPr>
        <w:t>в</w:t>
      </w:r>
    </w:p>
    <w:p w:rsidR="00316C1F" w:rsidRPr="00CB560F" w:rsidRDefault="00316C1F" w:rsidP="00316C1F">
      <w:pPr>
        <w:jc w:val="right"/>
        <w:rPr>
          <w:sz w:val="28"/>
          <w:szCs w:val="28"/>
        </w:rPr>
      </w:pPr>
      <w:r w:rsidRPr="00CB560F">
        <w:rPr>
          <w:sz w:val="28"/>
          <w:szCs w:val="28"/>
        </w:rPr>
        <w:lastRenderedPageBreak/>
        <w:t>Приложение № 1  к решению  Совета народных депутатов</w:t>
      </w:r>
    </w:p>
    <w:p w:rsidR="00316C1F" w:rsidRPr="00CB560F" w:rsidRDefault="00316C1F" w:rsidP="00316C1F">
      <w:pPr>
        <w:ind w:firstLine="708"/>
        <w:jc w:val="right"/>
        <w:rPr>
          <w:sz w:val="28"/>
          <w:szCs w:val="28"/>
        </w:rPr>
      </w:pPr>
      <w:r w:rsidRPr="00CB560F">
        <w:rPr>
          <w:sz w:val="28"/>
          <w:szCs w:val="28"/>
        </w:rPr>
        <w:t>Петропавловского сельского поселения «Об утверждении отчета</w:t>
      </w:r>
    </w:p>
    <w:p w:rsidR="00316C1F" w:rsidRPr="00CB560F" w:rsidRDefault="00316C1F" w:rsidP="00316C1F">
      <w:pPr>
        <w:tabs>
          <w:tab w:val="left" w:pos="4125"/>
        </w:tabs>
        <w:ind w:firstLine="708"/>
        <w:jc w:val="right"/>
        <w:rPr>
          <w:sz w:val="28"/>
          <w:szCs w:val="28"/>
        </w:rPr>
      </w:pPr>
      <w:r w:rsidRPr="00CB560F">
        <w:rPr>
          <w:sz w:val="28"/>
          <w:szCs w:val="28"/>
        </w:rPr>
        <w:t xml:space="preserve">об исполнении бюджета Петропавловского сельского поселения  </w:t>
      </w:r>
    </w:p>
    <w:p w:rsidR="00316C1F" w:rsidRPr="00CB560F" w:rsidRDefault="00316C1F" w:rsidP="00316C1F">
      <w:pPr>
        <w:jc w:val="right"/>
        <w:rPr>
          <w:rFonts w:ascii="Arial CYR" w:hAnsi="Arial CYR" w:cs="Arial CYR"/>
          <w:sz w:val="28"/>
          <w:szCs w:val="28"/>
        </w:rPr>
      </w:pPr>
      <w:r w:rsidRPr="00CB560F">
        <w:rPr>
          <w:sz w:val="28"/>
          <w:szCs w:val="28"/>
        </w:rPr>
        <w:t xml:space="preserve">Лискинского  муниципального района Воронежской области </w:t>
      </w:r>
    </w:p>
    <w:p w:rsidR="00316C1F" w:rsidRPr="00CB560F" w:rsidRDefault="00316C1F" w:rsidP="00316C1F">
      <w:pPr>
        <w:jc w:val="right"/>
        <w:rPr>
          <w:sz w:val="28"/>
          <w:szCs w:val="28"/>
        </w:rPr>
      </w:pPr>
      <w:r>
        <w:rPr>
          <w:sz w:val="28"/>
          <w:szCs w:val="28"/>
        </w:rPr>
        <w:t>за 2020 год</w:t>
      </w:r>
      <w:r w:rsidRPr="00CB560F">
        <w:rPr>
          <w:sz w:val="28"/>
          <w:szCs w:val="28"/>
        </w:rPr>
        <w:t xml:space="preserve"> </w:t>
      </w:r>
      <w:r w:rsidRPr="00CB560F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09.04.</w:t>
      </w:r>
      <w:r w:rsidRPr="00CB560F">
        <w:rPr>
          <w:sz w:val="28"/>
          <w:szCs w:val="28"/>
          <w:u w:val="single"/>
          <w:shd w:val="clear" w:color="auto" w:fill="FFFFFF" w:themeFill="background1"/>
        </w:rPr>
        <w:t xml:space="preserve"> 2021г.  № </w:t>
      </w:r>
      <w:r>
        <w:rPr>
          <w:sz w:val="28"/>
          <w:szCs w:val="28"/>
          <w:u w:val="single"/>
          <w:shd w:val="clear" w:color="auto" w:fill="FFFFFF" w:themeFill="background1"/>
        </w:rPr>
        <w:t xml:space="preserve">43  </w:t>
      </w:r>
    </w:p>
    <w:p w:rsidR="00316C1F" w:rsidRPr="00CB560F" w:rsidRDefault="00316C1F" w:rsidP="00316C1F">
      <w:pPr>
        <w:tabs>
          <w:tab w:val="left" w:pos="4125"/>
        </w:tabs>
        <w:ind w:firstLine="708"/>
        <w:jc w:val="right"/>
        <w:rPr>
          <w:sz w:val="28"/>
          <w:szCs w:val="28"/>
        </w:rPr>
      </w:pPr>
    </w:p>
    <w:p w:rsidR="00316C1F" w:rsidRPr="00CB560F" w:rsidRDefault="00316C1F" w:rsidP="00316C1F">
      <w:pPr>
        <w:rPr>
          <w:sz w:val="28"/>
          <w:szCs w:val="28"/>
        </w:rPr>
      </w:pPr>
    </w:p>
    <w:p w:rsidR="00316C1F" w:rsidRPr="00CB560F" w:rsidRDefault="00316C1F" w:rsidP="00316C1F">
      <w:pPr>
        <w:jc w:val="center"/>
        <w:rPr>
          <w:sz w:val="28"/>
          <w:szCs w:val="28"/>
        </w:rPr>
      </w:pPr>
    </w:p>
    <w:p w:rsidR="00316C1F" w:rsidRPr="00CB560F" w:rsidRDefault="00316C1F" w:rsidP="00316C1F">
      <w:pPr>
        <w:jc w:val="center"/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 xml:space="preserve">Отчет об исполнении бюджета Петропавловского сельского поселения </w:t>
      </w:r>
    </w:p>
    <w:p w:rsidR="00316C1F" w:rsidRPr="00CB560F" w:rsidRDefault="00316C1F" w:rsidP="00316C1F">
      <w:pPr>
        <w:jc w:val="center"/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>Лискинского муниципального района Воронежской области</w:t>
      </w:r>
    </w:p>
    <w:p w:rsidR="00316C1F" w:rsidRPr="00CB560F" w:rsidRDefault="00316C1F" w:rsidP="00316C1F">
      <w:pPr>
        <w:jc w:val="center"/>
        <w:rPr>
          <w:b/>
          <w:sz w:val="28"/>
          <w:szCs w:val="28"/>
        </w:rPr>
      </w:pPr>
      <w:r w:rsidRPr="00CB560F">
        <w:rPr>
          <w:b/>
          <w:sz w:val="28"/>
          <w:szCs w:val="28"/>
        </w:rPr>
        <w:t>за 2020г.</w:t>
      </w:r>
    </w:p>
    <w:p w:rsidR="00316C1F" w:rsidRPr="00CB560F" w:rsidRDefault="00316C1F" w:rsidP="00316C1F">
      <w:pPr>
        <w:jc w:val="center"/>
        <w:rPr>
          <w:sz w:val="28"/>
          <w:szCs w:val="28"/>
        </w:rPr>
      </w:pPr>
    </w:p>
    <w:p w:rsidR="00316C1F" w:rsidRPr="00CB560F" w:rsidRDefault="00316C1F" w:rsidP="00316C1F">
      <w:pPr>
        <w:ind w:firstLine="708"/>
        <w:rPr>
          <w:sz w:val="28"/>
          <w:szCs w:val="28"/>
        </w:rPr>
      </w:pPr>
      <w:r w:rsidRPr="00CB560F">
        <w:rPr>
          <w:sz w:val="28"/>
          <w:szCs w:val="28"/>
        </w:rPr>
        <w:t>1. Исполнение доходной части бюджета Петропавловского сельского поселения  за 2020 год:</w:t>
      </w:r>
    </w:p>
    <w:p w:rsidR="00316C1F" w:rsidRPr="00CB560F" w:rsidRDefault="00316C1F" w:rsidP="00316C1F">
      <w:pPr>
        <w:tabs>
          <w:tab w:val="left" w:pos="7700"/>
        </w:tabs>
        <w:jc w:val="right"/>
        <w:rPr>
          <w:sz w:val="28"/>
          <w:szCs w:val="28"/>
        </w:rPr>
      </w:pPr>
      <w:r w:rsidRPr="00CB560F">
        <w:rPr>
          <w:sz w:val="28"/>
          <w:szCs w:val="28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/>
      </w:tblPr>
      <w:tblGrid>
        <w:gridCol w:w="6060"/>
        <w:gridCol w:w="1732"/>
        <w:gridCol w:w="144"/>
        <w:gridCol w:w="1732"/>
      </w:tblGrid>
      <w:tr w:rsidR="00316C1F" w:rsidRPr="00CB560F" w:rsidTr="0027319E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План на 2020 год (тыс</w:t>
            </w:r>
            <w:proofErr w:type="gramStart"/>
            <w:r w:rsidRPr="00CB560F">
              <w:rPr>
                <w:sz w:val="28"/>
                <w:szCs w:val="28"/>
              </w:rPr>
              <w:t>.р</w:t>
            </w:r>
            <w:proofErr w:type="gramEnd"/>
            <w:r w:rsidRPr="00CB560F">
              <w:rPr>
                <w:sz w:val="28"/>
                <w:szCs w:val="28"/>
              </w:rPr>
              <w:t>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Фактическое исполнение за  2020 год (тыс</w:t>
            </w:r>
            <w:proofErr w:type="gramStart"/>
            <w:r w:rsidRPr="00CB560F">
              <w:rPr>
                <w:sz w:val="28"/>
                <w:szCs w:val="28"/>
              </w:rPr>
              <w:t>.р</w:t>
            </w:r>
            <w:proofErr w:type="gramEnd"/>
            <w:r w:rsidRPr="00CB560F">
              <w:rPr>
                <w:sz w:val="28"/>
                <w:szCs w:val="28"/>
              </w:rPr>
              <w:t>ублей)</w:t>
            </w:r>
          </w:p>
        </w:tc>
      </w:tr>
      <w:tr w:rsidR="00316C1F" w:rsidRPr="00CB560F" w:rsidTr="0027319E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2503,3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2572,9</w:t>
            </w:r>
          </w:p>
        </w:tc>
      </w:tr>
      <w:tr w:rsidR="00316C1F" w:rsidRPr="00CB560F" w:rsidTr="0027319E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280,0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285,0</w:t>
            </w:r>
          </w:p>
        </w:tc>
      </w:tr>
      <w:tr w:rsidR="00316C1F" w:rsidRPr="00CB560F" w:rsidTr="0027319E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4,7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4,8</w:t>
            </w:r>
          </w:p>
        </w:tc>
      </w:tr>
      <w:tr w:rsidR="00316C1F" w:rsidRPr="00CB560F" w:rsidTr="0027319E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102,0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108,0</w:t>
            </w:r>
          </w:p>
        </w:tc>
      </w:tr>
      <w:tr w:rsidR="00316C1F" w:rsidRPr="00CB560F" w:rsidTr="0027319E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2116,6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2175,1</w:t>
            </w:r>
          </w:p>
        </w:tc>
      </w:tr>
      <w:tr w:rsidR="00316C1F" w:rsidRPr="00CB560F" w:rsidTr="0027319E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</w:tr>
      <w:tr w:rsidR="00316C1F" w:rsidRPr="00CB560F" w:rsidTr="0027319E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6C1F" w:rsidRPr="00CB560F" w:rsidTr="0027319E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</w:tr>
      <w:tr w:rsidR="00316C1F" w:rsidRPr="00CB560F" w:rsidTr="0027319E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117,2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118,4</w:t>
            </w:r>
          </w:p>
        </w:tc>
      </w:tr>
      <w:tr w:rsidR="00316C1F" w:rsidRPr="00CB560F" w:rsidTr="0027319E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54,7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55,1</w:t>
            </w:r>
          </w:p>
        </w:tc>
      </w:tr>
      <w:tr w:rsidR="00316C1F" w:rsidRPr="00CB560F" w:rsidTr="0027319E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</w:tr>
      <w:tr w:rsidR="00316C1F" w:rsidRPr="00CB560F" w:rsidTr="0027319E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6,5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6,5</w:t>
            </w:r>
          </w:p>
        </w:tc>
      </w:tr>
      <w:tr w:rsidR="00316C1F" w:rsidRPr="00CB560F" w:rsidTr="0027319E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Прочие  неналоговые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</w:p>
        </w:tc>
      </w:tr>
      <w:tr w:rsidR="00316C1F" w:rsidRPr="00CB560F" w:rsidTr="0027319E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56,0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56,8</w:t>
            </w:r>
          </w:p>
        </w:tc>
      </w:tr>
      <w:tr w:rsidR="00316C1F" w:rsidRPr="00CB560F" w:rsidTr="0027319E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2620,5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2691,3</w:t>
            </w:r>
          </w:p>
        </w:tc>
      </w:tr>
      <w:tr w:rsidR="00316C1F" w:rsidRPr="00CB560F" w:rsidTr="0027319E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15151,7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15147,1</w:t>
            </w:r>
          </w:p>
        </w:tc>
      </w:tr>
      <w:tr w:rsidR="00316C1F" w:rsidRPr="00CB560F" w:rsidTr="0027319E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17772,2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17838,4</w:t>
            </w:r>
          </w:p>
        </w:tc>
      </w:tr>
      <w:tr w:rsidR="00316C1F" w:rsidRPr="00CB560F" w:rsidTr="0027319E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ind w:firstLine="708"/>
              <w:rPr>
                <w:sz w:val="28"/>
                <w:szCs w:val="28"/>
              </w:rPr>
            </w:pPr>
          </w:p>
          <w:p w:rsidR="00316C1F" w:rsidRPr="00CB560F" w:rsidRDefault="00316C1F" w:rsidP="0027319E">
            <w:pPr>
              <w:ind w:firstLine="708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 xml:space="preserve">2. Исполнение расходной части бюджета </w:t>
            </w:r>
            <w:r>
              <w:rPr>
                <w:sz w:val="28"/>
                <w:szCs w:val="28"/>
              </w:rPr>
              <w:t>П</w:t>
            </w:r>
            <w:r w:rsidRPr="00CB560F">
              <w:rPr>
                <w:sz w:val="28"/>
                <w:szCs w:val="28"/>
              </w:rPr>
              <w:t>етропавловского     сельского поселения  за 2020 год:</w:t>
            </w:r>
          </w:p>
          <w:p w:rsidR="00316C1F" w:rsidRPr="00CB560F" w:rsidRDefault="00316C1F" w:rsidP="0027319E">
            <w:pPr>
              <w:tabs>
                <w:tab w:val="left" w:pos="7700"/>
              </w:tabs>
              <w:jc w:val="right"/>
              <w:rPr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ab/>
            </w:r>
          </w:p>
        </w:tc>
      </w:tr>
      <w:tr w:rsidR="00316C1F" w:rsidRPr="00CB560F" w:rsidTr="0027319E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План на 2020 год (тыс</w:t>
            </w:r>
            <w:proofErr w:type="gramStart"/>
            <w:r w:rsidRPr="00CB560F">
              <w:rPr>
                <w:sz w:val="28"/>
                <w:szCs w:val="28"/>
              </w:rPr>
              <w:t>.р</w:t>
            </w:r>
            <w:proofErr w:type="gramEnd"/>
            <w:r w:rsidRPr="00CB560F">
              <w:rPr>
                <w:sz w:val="28"/>
                <w:szCs w:val="28"/>
              </w:rPr>
              <w:t>ублей)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Фактическое исполнение за  2020 год (тыс</w:t>
            </w:r>
            <w:proofErr w:type="gramStart"/>
            <w:r w:rsidRPr="00CB560F">
              <w:rPr>
                <w:sz w:val="28"/>
                <w:szCs w:val="28"/>
              </w:rPr>
              <w:t>.р</w:t>
            </w:r>
            <w:proofErr w:type="gramEnd"/>
            <w:r w:rsidRPr="00CB560F">
              <w:rPr>
                <w:sz w:val="28"/>
                <w:szCs w:val="28"/>
              </w:rPr>
              <w:t>ублей)</w:t>
            </w:r>
          </w:p>
        </w:tc>
      </w:tr>
      <w:tr w:rsidR="00316C1F" w:rsidRPr="00CB560F" w:rsidTr="0027319E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4923,3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4923,3</w:t>
            </w:r>
          </w:p>
        </w:tc>
      </w:tr>
      <w:tr w:rsidR="00316C1F" w:rsidRPr="00CB560F" w:rsidTr="0027319E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88,0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88,0</w:t>
            </w:r>
          </w:p>
        </w:tc>
      </w:tr>
      <w:tr w:rsidR="00316C1F" w:rsidRPr="00CB560F" w:rsidTr="0027319E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439,8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439,8</w:t>
            </w:r>
          </w:p>
        </w:tc>
      </w:tr>
      <w:tr w:rsidR="00316C1F" w:rsidRPr="00CB560F" w:rsidTr="0027319E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8485,6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8485,4</w:t>
            </w:r>
          </w:p>
        </w:tc>
      </w:tr>
      <w:tr w:rsidR="00316C1F" w:rsidRPr="00CB560F" w:rsidTr="0027319E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proofErr w:type="spellStart"/>
            <w:proofErr w:type="gramStart"/>
            <w:r w:rsidRPr="00CB560F">
              <w:rPr>
                <w:szCs w:val="28"/>
              </w:rPr>
              <w:t>Жилищно</w:t>
            </w:r>
            <w:proofErr w:type="spellEnd"/>
            <w:r w:rsidRPr="00CB560F">
              <w:rPr>
                <w:szCs w:val="28"/>
              </w:rPr>
              <w:t xml:space="preserve"> - коммунальное</w:t>
            </w:r>
            <w:proofErr w:type="gramEnd"/>
            <w:r w:rsidRPr="00CB560F">
              <w:rPr>
                <w:szCs w:val="28"/>
              </w:rPr>
              <w:t xml:space="preserve">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1430,8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jc w:val="center"/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1430,8</w:t>
            </w:r>
          </w:p>
        </w:tc>
      </w:tr>
      <w:tr w:rsidR="00316C1F" w:rsidRPr="00CB560F" w:rsidTr="0027319E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2523,8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2523,4</w:t>
            </w:r>
          </w:p>
        </w:tc>
      </w:tr>
      <w:tr w:rsidR="00316C1F" w:rsidRPr="00CB560F" w:rsidTr="0027319E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68,2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  <w:r w:rsidRPr="00CB560F">
              <w:rPr>
                <w:szCs w:val="28"/>
              </w:rPr>
              <w:t>68,2</w:t>
            </w:r>
          </w:p>
        </w:tc>
      </w:tr>
      <w:tr w:rsidR="00316C1F" w:rsidRPr="00CB560F" w:rsidTr="0027319E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1F" w:rsidRPr="00CB560F" w:rsidRDefault="00316C1F" w:rsidP="0027319E">
            <w:pPr>
              <w:rPr>
                <w:sz w:val="28"/>
                <w:szCs w:val="28"/>
              </w:rPr>
            </w:pPr>
            <w:r w:rsidRPr="00CB560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316C1F" w:rsidRPr="00CB560F" w:rsidTr="0027319E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1F" w:rsidRPr="00CB560F" w:rsidRDefault="00316C1F" w:rsidP="0027319E">
            <w:pPr>
              <w:pStyle w:val="a3"/>
              <w:ind w:left="0"/>
              <w:rPr>
                <w:szCs w:val="28"/>
              </w:rPr>
            </w:pPr>
            <w:r w:rsidRPr="00CB560F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316C1F" w:rsidRPr="00CB560F" w:rsidTr="0027319E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1F" w:rsidRPr="00CB560F" w:rsidRDefault="00316C1F" w:rsidP="0027319E">
            <w:pPr>
              <w:pStyle w:val="a3"/>
              <w:ind w:left="0"/>
              <w:rPr>
                <w:b/>
                <w:szCs w:val="28"/>
              </w:rPr>
            </w:pPr>
            <w:r w:rsidRPr="00CB560F">
              <w:rPr>
                <w:b/>
                <w:szCs w:val="28"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B560F">
              <w:rPr>
                <w:b/>
                <w:szCs w:val="28"/>
              </w:rPr>
              <w:t>17959,5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C1F" w:rsidRPr="00CB560F" w:rsidRDefault="00316C1F" w:rsidP="0027319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B560F">
              <w:rPr>
                <w:b/>
                <w:szCs w:val="28"/>
              </w:rPr>
              <w:t>17958,9</w:t>
            </w:r>
          </w:p>
        </w:tc>
      </w:tr>
      <w:tr w:rsidR="00316C1F" w:rsidRPr="00CB560F" w:rsidTr="0027319E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1F" w:rsidRPr="00CB560F" w:rsidRDefault="00316C1F" w:rsidP="0027319E">
            <w:pPr>
              <w:pStyle w:val="a5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1F" w:rsidRPr="00CB560F" w:rsidRDefault="00316C1F" w:rsidP="0027319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-187,3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1F" w:rsidRPr="00CB560F" w:rsidRDefault="00316C1F" w:rsidP="0027319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B560F">
              <w:rPr>
                <w:b/>
                <w:sz w:val="28"/>
                <w:szCs w:val="28"/>
              </w:rPr>
              <w:t>-120,5</w:t>
            </w:r>
          </w:p>
        </w:tc>
      </w:tr>
    </w:tbl>
    <w:p w:rsidR="00316C1F" w:rsidRPr="00CB560F" w:rsidRDefault="00316C1F" w:rsidP="00316C1F">
      <w:pPr>
        <w:ind w:left="-351"/>
        <w:jc w:val="right"/>
        <w:rPr>
          <w:sz w:val="28"/>
          <w:szCs w:val="28"/>
        </w:rPr>
      </w:pPr>
      <w:r w:rsidRPr="00CB560F">
        <w:rPr>
          <w:sz w:val="28"/>
          <w:szCs w:val="28"/>
        </w:rPr>
        <w:tab/>
        <w:t xml:space="preserve">                                                      </w:t>
      </w:r>
    </w:p>
    <w:p w:rsidR="009F665B" w:rsidRPr="009F665B" w:rsidRDefault="009F665B" w:rsidP="009F665B">
      <w:pPr>
        <w:jc w:val="both"/>
        <w:rPr>
          <w:sz w:val="28"/>
          <w:szCs w:val="28"/>
        </w:rPr>
      </w:pPr>
    </w:p>
    <w:p w:rsidR="000E25AE" w:rsidRPr="009F665B" w:rsidRDefault="000E25AE" w:rsidP="00850560">
      <w:pPr>
        <w:tabs>
          <w:tab w:val="left" w:pos="7296"/>
        </w:tabs>
        <w:jc w:val="both"/>
        <w:rPr>
          <w:sz w:val="28"/>
          <w:szCs w:val="28"/>
        </w:rPr>
      </w:pPr>
    </w:p>
    <w:sectPr w:rsidR="000E25AE" w:rsidRPr="009F665B" w:rsidSect="003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2747"/>
    <w:multiLevelType w:val="hybridMultilevel"/>
    <w:tmpl w:val="C39E4040"/>
    <w:lvl w:ilvl="0" w:tplc="F740F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65B"/>
    <w:rsid w:val="000733A1"/>
    <w:rsid w:val="000B0130"/>
    <w:rsid w:val="000E25AE"/>
    <w:rsid w:val="00185B03"/>
    <w:rsid w:val="00316C1F"/>
    <w:rsid w:val="00320415"/>
    <w:rsid w:val="004432EE"/>
    <w:rsid w:val="005F4E3C"/>
    <w:rsid w:val="00616960"/>
    <w:rsid w:val="00641BAF"/>
    <w:rsid w:val="00850560"/>
    <w:rsid w:val="009F665B"/>
    <w:rsid w:val="00D35E6D"/>
    <w:rsid w:val="00D654CE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665B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semiHidden/>
    <w:unhideWhenUsed/>
    <w:rsid w:val="000E25A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0E25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25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16C1F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cp:lastPrinted>2021-03-31T06:20:00Z</cp:lastPrinted>
  <dcterms:created xsi:type="dcterms:W3CDTF">2021-04-13T06:57:00Z</dcterms:created>
  <dcterms:modified xsi:type="dcterms:W3CDTF">2021-04-13T06:57:00Z</dcterms:modified>
</cp:coreProperties>
</file>