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5" w:rsidRDefault="004D4715" w:rsidP="004D4715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>
            <wp:extent cx="438150" cy="4857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715" w:rsidRPr="00FF2A52" w:rsidRDefault="004D4715" w:rsidP="004D4715">
      <w:pPr>
        <w:pStyle w:val="a3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F2A52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ГЛЕБОВСКОГО</w:t>
      </w:r>
      <w:r w:rsidRPr="00FF2A5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D4715" w:rsidRPr="003169B2" w:rsidRDefault="004D4715" w:rsidP="004D4715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FF2A52">
        <w:rPr>
          <w:rFonts w:ascii="Times New Roman" w:hAnsi="Times New Roman"/>
          <w:b/>
          <w:sz w:val="28"/>
          <w:szCs w:val="28"/>
        </w:rPr>
        <w:t>КУЩЕВСКОГО РАЙОНА</w:t>
      </w:r>
    </w:p>
    <w:p w:rsidR="004D4715" w:rsidRPr="003169B2" w:rsidRDefault="004D4715" w:rsidP="004D4715">
      <w:pPr>
        <w:suppressAutoHyphens/>
        <w:spacing w:after="0" w:line="240" w:lineRule="auto"/>
        <w:ind w:firstLine="567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BD7B1E" w:rsidRPr="0054114B" w:rsidRDefault="00BD7B1E" w:rsidP="00BD7B1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4114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РЕШЕНИЕ                                                      </w:t>
      </w:r>
    </w:p>
    <w:p w:rsidR="00BD7B1E" w:rsidRPr="006B68CA" w:rsidRDefault="00BD7B1E" w:rsidP="00BD7B1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4114B" w:rsidRDefault="00BD7B1E" w:rsidP="0054114B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4114B">
        <w:rPr>
          <w:rFonts w:ascii="Times New Roman" w:eastAsia="Calibri" w:hAnsi="Times New Roman" w:cs="Times New Roman"/>
          <w:sz w:val="28"/>
          <w:szCs w:val="28"/>
          <w:lang w:eastAsia="ar-SA"/>
        </w:rPr>
        <w:t>23.11</w:t>
      </w:r>
      <w:r w:rsidR="0054114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4D4715" w:rsidRPr="0054114B">
        <w:rPr>
          <w:rFonts w:ascii="Times New Roman" w:eastAsia="Calibri" w:hAnsi="Times New Roman" w:cs="Times New Roman"/>
          <w:sz w:val="28"/>
          <w:szCs w:val="28"/>
          <w:lang w:eastAsia="ar-SA"/>
        </w:rPr>
        <w:t>2018 года</w:t>
      </w:r>
      <w:r w:rsidR="004D4715" w:rsidRPr="005411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</w:t>
      </w:r>
      <w:r w:rsidR="0054114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="0054114B" w:rsidRPr="0054114B">
        <w:rPr>
          <w:rFonts w:ascii="Times New Roman" w:eastAsia="SimSun" w:hAnsi="Times New Roman" w:cs="Times New Roman"/>
          <w:sz w:val="28"/>
          <w:szCs w:val="28"/>
          <w:lang w:eastAsia="ar-SA"/>
        </w:rPr>
        <w:t>№ 200</w:t>
      </w:r>
    </w:p>
    <w:p w:rsidR="004D4715" w:rsidRPr="0054114B" w:rsidRDefault="006B68CA" w:rsidP="0054114B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spellStart"/>
      <w:r w:rsidRPr="0054114B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proofErr w:type="gramStart"/>
      <w:r w:rsidRPr="0054114B">
        <w:rPr>
          <w:rFonts w:ascii="Times New Roman" w:eastAsia="Times New Roman" w:hAnsi="Times New Roman" w:cs="Times New Roman"/>
          <w:bCs/>
          <w:sz w:val="28"/>
          <w:szCs w:val="28"/>
        </w:rPr>
        <w:t>.Г</w:t>
      </w:r>
      <w:proofErr w:type="gramEnd"/>
      <w:r w:rsidRPr="0054114B">
        <w:rPr>
          <w:rFonts w:ascii="Times New Roman" w:eastAsia="Times New Roman" w:hAnsi="Times New Roman" w:cs="Times New Roman"/>
          <w:bCs/>
          <w:sz w:val="28"/>
          <w:szCs w:val="28"/>
        </w:rPr>
        <w:t>лебовка</w:t>
      </w:r>
      <w:proofErr w:type="spellEnd"/>
    </w:p>
    <w:p w:rsidR="006B68CA" w:rsidRPr="006B68CA" w:rsidRDefault="006B68CA" w:rsidP="006B68CA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E3F25" w:rsidRDefault="004D4715" w:rsidP="00BD7B1E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DE3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Глебовского</w:t>
      </w:r>
      <w:proofErr w:type="spellEnd"/>
      <w:r w:rsidRPr="00DE3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Pr="00DE3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Кущевского</w:t>
      </w:r>
      <w:proofErr w:type="spellEnd"/>
      <w:r w:rsidRPr="00DE3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29 сентября 2016 года № 97 «Об установлении налога на имущество физических лиц на территории </w:t>
      </w:r>
      <w:proofErr w:type="spellStart"/>
      <w:r w:rsidRPr="00DE3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Глебовского</w:t>
      </w:r>
      <w:proofErr w:type="spellEnd"/>
      <w:r w:rsidRPr="00DE3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4D4715" w:rsidRPr="00DE3F25" w:rsidRDefault="004D4715" w:rsidP="00BD7B1E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E3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Кущевского</w:t>
      </w:r>
      <w:proofErr w:type="spellEnd"/>
      <w:r w:rsidRPr="00DE3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  <w:r w:rsidRPr="00DE3F25"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</w:p>
    <w:p w:rsidR="004D4715" w:rsidRDefault="004D4715" w:rsidP="004D4715">
      <w:pPr>
        <w:suppressAutoHyphens/>
        <w:spacing w:after="0" w:line="240" w:lineRule="auto"/>
        <w:ind w:firstLine="567"/>
        <w:jc w:val="center"/>
        <w:rPr>
          <w:rFonts w:ascii="Arial" w:eastAsia="SimSun" w:hAnsi="Arial" w:cs="Arial"/>
          <w:b/>
          <w:color w:val="FF0000"/>
          <w:sz w:val="20"/>
          <w:szCs w:val="20"/>
          <w:lang w:eastAsia="ar-SA"/>
        </w:rPr>
      </w:pPr>
    </w:p>
    <w:p w:rsidR="004D4715" w:rsidRPr="003169B2" w:rsidRDefault="004D4715" w:rsidP="004D4715">
      <w:pPr>
        <w:suppressAutoHyphens/>
        <w:spacing w:after="0" w:line="240" w:lineRule="auto"/>
        <w:ind w:firstLine="567"/>
        <w:jc w:val="center"/>
        <w:rPr>
          <w:rFonts w:ascii="Arial" w:eastAsia="SimSun" w:hAnsi="Arial" w:cs="Arial"/>
          <w:b/>
          <w:color w:val="FF0000"/>
          <w:sz w:val="20"/>
          <w:szCs w:val="20"/>
          <w:lang w:eastAsia="ar-SA"/>
        </w:rPr>
      </w:pPr>
    </w:p>
    <w:p w:rsidR="004D4715" w:rsidRPr="00DE3F25" w:rsidRDefault="00DE3F25" w:rsidP="00DE3F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D4715" w:rsidRPr="00DE3F25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="004D4715" w:rsidRPr="00DE3F25"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</w:t>
      </w:r>
      <w:proofErr w:type="spellStart"/>
      <w:r w:rsidR="004D4715" w:rsidRPr="00DE3F25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="004D4715" w:rsidRPr="00DE3F2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D4715" w:rsidRPr="00DE3F25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4D4715" w:rsidRPr="00DE3F25">
        <w:rPr>
          <w:rFonts w:ascii="Times New Roman" w:hAnsi="Times New Roman"/>
          <w:sz w:val="28"/>
          <w:szCs w:val="28"/>
        </w:rPr>
        <w:t xml:space="preserve"> района,  </w:t>
      </w:r>
      <w:proofErr w:type="spellStart"/>
      <w:proofErr w:type="gramStart"/>
      <w:r w:rsidR="004D4715" w:rsidRPr="00DE3F2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54114B">
        <w:rPr>
          <w:rFonts w:ascii="Times New Roman" w:hAnsi="Times New Roman"/>
          <w:sz w:val="28"/>
          <w:szCs w:val="28"/>
        </w:rPr>
        <w:t xml:space="preserve"> </w:t>
      </w:r>
      <w:r w:rsidR="004D4715" w:rsidRPr="00DE3F25">
        <w:rPr>
          <w:rFonts w:ascii="Times New Roman" w:hAnsi="Times New Roman"/>
          <w:sz w:val="28"/>
          <w:szCs w:val="28"/>
        </w:rPr>
        <w:t>е</w:t>
      </w:r>
      <w:r w:rsidR="005411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4715" w:rsidRPr="00DE3F25">
        <w:rPr>
          <w:rFonts w:ascii="Times New Roman" w:hAnsi="Times New Roman"/>
          <w:sz w:val="28"/>
          <w:szCs w:val="28"/>
        </w:rPr>
        <w:t>ш</w:t>
      </w:r>
      <w:proofErr w:type="spellEnd"/>
      <w:r w:rsidR="0054114B">
        <w:rPr>
          <w:rFonts w:ascii="Times New Roman" w:hAnsi="Times New Roman"/>
          <w:sz w:val="28"/>
          <w:szCs w:val="28"/>
        </w:rPr>
        <w:t xml:space="preserve"> </w:t>
      </w:r>
      <w:r w:rsidR="004D4715" w:rsidRPr="00DE3F25">
        <w:rPr>
          <w:rFonts w:ascii="Times New Roman" w:hAnsi="Times New Roman"/>
          <w:sz w:val="28"/>
          <w:szCs w:val="28"/>
        </w:rPr>
        <w:t>и</w:t>
      </w:r>
      <w:r w:rsidR="0054114B">
        <w:rPr>
          <w:rFonts w:ascii="Times New Roman" w:hAnsi="Times New Roman"/>
          <w:sz w:val="28"/>
          <w:szCs w:val="28"/>
        </w:rPr>
        <w:t xml:space="preserve"> </w:t>
      </w:r>
      <w:r w:rsidR="004D4715" w:rsidRPr="00DE3F25">
        <w:rPr>
          <w:rFonts w:ascii="Times New Roman" w:hAnsi="Times New Roman"/>
          <w:sz w:val="28"/>
          <w:szCs w:val="28"/>
        </w:rPr>
        <w:t>л:</w:t>
      </w:r>
    </w:p>
    <w:p w:rsidR="004D4715" w:rsidRPr="00DE3F25" w:rsidRDefault="00DE3F25" w:rsidP="00DE3F25">
      <w:pPr>
        <w:pStyle w:val="a3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ab/>
      </w:r>
      <w:r w:rsidR="004D4715" w:rsidRPr="00DE3F25">
        <w:rPr>
          <w:rFonts w:ascii="Times New Roman" w:eastAsia="SimSun" w:hAnsi="Times New Roman"/>
          <w:sz w:val="28"/>
          <w:szCs w:val="28"/>
        </w:rPr>
        <w:t xml:space="preserve">1.Внести в решение </w:t>
      </w:r>
      <w:r w:rsidR="004D4715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Совета </w:t>
      </w:r>
      <w:proofErr w:type="spellStart"/>
      <w:r w:rsidR="004D4715" w:rsidRPr="00DE3F25">
        <w:rPr>
          <w:rFonts w:ascii="Times New Roman" w:eastAsia="SimSun" w:hAnsi="Times New Roman"/>
          <w:sz w:val="28"/>
          <w:szCs w:val="28"/>
          <w:lang w:eastAsia="ar-SA"/>
        </w:rPr>
        <w:t>Глебовского</w:t>
      </w:r>
      <w:proofErr w:type="spellEnd"/>
      <w:r w:rsidR="004D4715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4D4715" w:rsidRPr="00DE3F25">
        <w:rPr>
          <w:rFonts w:ascii="Times New Roman" w:eastAsia="SimSun" w:hAnsi="Times New Roman"/>
          <w:sz w:val="28"/>
          <w:szCs w:val="28"/>
          <w:lang w:eastAsia="ar-SA"/>
        </w:rPr>
        <w:t>Кущевского</w:t>
      </w:r>
      <w:proofErr w:type="spellEnd"/>
      <w:r w:rsidR="004D4715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 района от 29 сентября 2016 года № 97 «Об установлении налога на имущество физических лиц на территории </w:t>
      </w:r>
      <w:proofErr w:type="spellStart"/>
      <w:r w:rsidR="004D4715" w:rsidRPr="00DE3F25">
        <w:rPr>
          <w:rFonts w:ascii="Times New Roman" w:eastAsia="SimSun" w:hAnsi="Times New Roman"/>
          <w:sz w:val="28"/>
          <w:szCs w:val="28"/>
          <w:lang w:eastAsia="ar-SA"/>
        </w:rPr>
        <w:t>Глебовского</w:t>
      </w:r>
      <w:proofErr w:type="spellEnd"/>
      <w:r w:rsidR="004D4715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4D4715" w:rsidRPr="00DE3F25">
        <w:rPr>
          <w:rFonts w:ascii="Times New Roman" w:eastAsia="SimSun" w:hAnsi="Times New Roman"/>
          <w:sz w:val="28"/>
          <w:szCs w:val="28"/>
          <w:lang w:eastAsia="ar-SA"/>
        </w:rPr>
        <w:t>Кущевского</w:t>
      </w:r>
      <w:proofErr w:type="spellEnd"/>
      <w:r w:rsidR="004D4715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 района»</w:t>
      </w:r>
      <w:r w:rsidR="004939A0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4939A0" w:rsidRPr="00DE3F25">
        <w:rPr>
          <w:rFonts w:ascii="Times New Roman" w:eastAsia="SimSun" w:hAnsi="Times New Roman"/>
          <w:sz w:val="28"/>
          <w:szCs w:val="28"/>
        </w:rPr>
        <w:t>следующие изменения</w:t>
      </w:r>
      <w:r w:rsidR="004D4715" w:rsidRPr="00DE3F25">
        <w:rPr>
          <w:rFonts w:ascii="Times New Roman" w:eastAsia="SimSun" w:hAnsi="Times New Roman"/>
          <w:sz w:val="28"/>
          <w:szCs w:val="28"/>
          <w:lang w:eastAsia="ar-SA"/>
        </w:rPr>
        <w:t>:</w:t>
      </w:r>
      <w:r w:rsidR="004D4715" w:rsidRPr="00DE3F25">
        <w:rPr>
          <w:rFonts w:ascii="Times New Roman" w:eastAsia="SimSun" w:hAnsi="Times New Roman"/>
          <w:sz w:val="28"/>
          <w:szCs w:val="28"/>
        </w:rPr>
        <w:t xml:space="preserve"> </w:t>
      </w:r>
    </w:p>
    <w:p w:rsidR="004D4715" w:rsidRPr="00DE3F25" w:rsidRDefault="00DE3F25" w:rsidP="00DE3F25">
      <w:pPr>
        <w:pStyle w:val="a3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ab/>
      </w:r>
      <w:r w:rsidR="00A1240F">
        <w:rPr>
          <w:rFonts w:ascii="Times New Roman" w:eastAsia="SimSun" w:hAnsi="Times New Roman"/>
          <w:sz w:val="28"/>
          <w:szCs w:val="28"/>
        </w:rPr>
        <w:t xml:space="preserve"> 1.  П</w:t>
      </w:r>
      <w:r w:rsidR="004D4715" w:rsidRPr="00DE3F25">
        <w:rPr>
          <w:rFonts w:ascii="Times New Roman" w:eastAsia="SimSun" w:hAnsi="Times New Roman"/>
          <w:sz w:val="28"/>
          <w:szCs w:val="28"/>
        </w:rPr>
        <w:t>ункт 2 изложить в следующей редакции:</w:t>
      </w:r>
    </w:p>
    <w:p w:rsidR="004D4715" w:rsidRPr="00DE3F25" w:rsidRDefault="00DE3F25" w:rsidP="00DE3F25">
      <w:pPr>
        <w:pStyle w:val="a3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4D4715" w:rsidRPr="00DE3F25">
        <w:rPr>
          <w:rFonts w:ascii="Times New Roman" w:eastAsia="SimSun" w:hAnsi="Times New Roman"/>
          <w:sz w:val="28"/>
          <w:szCs w:val="28"/>
          <w:lang w:eastAsia="ar-SA"/>
        </w:rPr>
        <w:t>«2. Установить налоговые ставки налога на имущество физических лиц</w:t>
      </w:r>
      <w:r w:rsidR="00A1240F">
        <w:rPr>
          <w:rFonts w:ascii="Times New Roman" w:eastAsia="SimSun" w:hAnsi="Times New Roman"/>
          <w:sz w:val="28"/>
          <w:szCs w:val="28"/>
          <w:lang w:eastAsia="ar-SA"/>
        </w:rPr>
        <w:t>,</w:t>
      </w:r>
      <w:r w:rsidR="004D4715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  исходя из кадастровой стоимости объектов налогообложения в следующих размерах:</w:t>
      </w:r>
    </w:p>
    <w:p w:rsidR="007359B7" w:rsidRPr="00DE3F25" w:rsidRDefault="007359B7" w:rsidP="00DE3F25">
      <w:pPr>
        <w:pStyle w:val="a3"/>
        <w:rPr>
          <w:rFonts w:ascii="Times New Roman" w:eastAsia="SimSun" w:hAnsi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DE3F25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Объекты налогообложения</w:t>
            </w:r>
          </w:p>
        </w:tc>
      </w:tr>
      <w:tr w:rsidR="007359B7" w:rsidRPr="00DE3F25" w:rsidTr="00DE3F2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ставка 2017 года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59B7" w:rsidRPr="00DE3F25" w:rsidRDefault="004D4715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0,3</w:t>
            </w:r>
            <w:r w:rsidR="00A1240F">
              <w:rPr>
                <w:rFonts w:ascii="Times New Roman" w:hAnsi="Times New Roman"/>
                <w:sz w:val="28"/>
                <w:szCs w:val="28"/>
              </w:rPr>
              <w:t>%</w:t>
            </w:r>
            <w:r w:rsidR="007359B7" w:rsidRPr="00DE3F2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1. Жилые дома, части жилых домов, жилые помещения (квартиры, комнаты), части квартир;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 xml:space="preserve"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</w:t>
            </w:r>
            <w:r w:rsidRPr="00DE3F25">
              <w:rPr>
                <w:rFonts w:ascii="Times New Roman" w:hAnsi="Times New Roman"/>
                <w:sz w:val="28"/>
                <w:szCs w:val="28"/>
              </w:rPr>
              <w:lastRenderedPageBreak/>
              <w:t>дачного хозяйства, огородничества, садоводства или индивидуального жилищного строительства;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 xml:space="preserve">4.Гаражи и </w:t>
            </w:r>
            <w:proofErr w:type="spellStart"/>
            <w:r w:rsidRPr="00DE3F25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 w:rsidRPr="00DE3F25">
              <w:rPr>
                <w:rFonts w:ascii="Times New Roman" w:hAnsi="Times New Roman"/>
                <w:sz w:val="28"/>
                <w:szCs w:val="28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7359B7" w:rsidRPr="00DE3F25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ставка 2017 года</w:t>
            </w:r>
          </w:p>
          <w:p w:rsidR="004D4715" w:rsidRPr="00DE3F25" w:rsidRDefault="004D4715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0,3</w:t>
            </w:r>
            <w:r w:rsidR="00A124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15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DE3F25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ставка 2017 года</w:t>
            </w:r>
          </w:p>
          <w:p w:rsidR="004D4715" w:rsidRPr="00DE3F25" w:rsidRDefault="004D4715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2</w:t>
            </w:r>
            <w:r w:rsidR="00A124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DE3F25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9B7" w:rsidRPr="00DE3F25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715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ставка 2017 года</w:t>
            </w:r>
          </w:p>
          <w:p w:rsidR="007359B7" w:rsidRPr="00DE3F25" w:rsidRDefault="004D4715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0,5</w:t>
            </w:r>
            <w:r w:rsidR="00A124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  <w:p w:rsidR="004D4715" w:rsidRPr="00DE3F25" w:rsidRDefault="004D4715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D4715" w:rsidRPr="00DE3F25" w:rsidRDefault="004D4715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59B7" w:rsidRPr="00DE3F25" w:rsidRDefault="007359B7" w:rsidP="00DE3F25">
      <w:pPr>
        <w:pStyle w:val="a3"/>
        <w:rPr>
          <w:rFonts w:ascii="Times New Roman" w:hAnsi="Times New Roman"/>
          <w:sz w:val="28"/>
          <w:szCs w:val="28"/>
        </w:rPr>
      </w:pPr>
      <w:r w:rsidRPr="00DE3F25">
        <w:rPr>
          <w:rFonts w:ascii="Times New Roman" w:hAnsi="Times New Roman"/>
          <w:sz w:val="28"/>
          <w:szCs w:val="28"/>
        </w:rPr>
        <w:tab/>
      </w:r>
    </w:p>
    <w:p w:rsidR="008D2E57" w:rsidRPr="00DE3F25" w:rsidRDefault="00DE3F25" w:rsidP="00DE3F25">
      <w:pPr>
        <w:pStyle w:val="a3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ab/>
      </w:r>
      <w:r w:rsidR="00A1240F">
        <w:rPr>
          <w:rFonts w:ascii="Times New Roman" w:eastAsia="SimSun" w:hAnsi="Times New Roman"/>
          <w:sz w:val="28"/>
          <w:szCs w:val="28"/>
        </w:rPr>
        <w:t xml:space="preserve"> </w:t>
      </w:r>
      <w:r w:rsidR="007359B7" w:rsidRPr="00DE3F25">
        <w:rPr>
          <w:rFonts w:ascii="Times New Roman" w:eastAsia="SimSun" w:hAnsi="Times New Roman"/>
          <w:sz w:val="28"/>
          <w:szCs w:val="28"/>
        </w:rPr>
        <w:t xml:space="preserve">2. </w:t>
      </w:r>
      <w:r w:rsidR="00A1240F">
        <w:rPr>
          <w:rFonts w:ascii="Times New Roman" w:eastAsia="SimSun" w:hAnsi="Times New Roman"/>
          <w:sz w:val="28"/>
          <w:szCs w:val="28"/>
        </w:rPr>
        <w:t>Решение дополнить</w:t>
      </w:r>
      <w:r w:rsidR="00ED3C3D" w:rsidRPr="00DE3F25">
        <w:rPr>
          <w:rFonts w:ascii="Times New Roman" w:eastAsia="SimSun" w:hAnsi="Times New Roman"/>
          <w:sz w:val="28"/>
          <w:szCs w:val="28"/>
        </w:rPr>
        <w:t xml:space="preserve"> </w:t>
      </w:r>
      <w:r w:rsidR="007359B7" w:rsidRPr="00DE3F25">
        <w:rPr>
          <w:rFonts w:ascii="Times New Roman" w:eastAsia="SimSun" w:hAnsi="Times New Roman"/>
          <w:sz w:val="28"/>
          <w:szCs w:val="28"/>
        </w:rPr>
        <w:t>пункт</w:t>
      </w:r>
      <w:r w:rsidR="00ED3C3D" w:rsidRPr="00DE3F25">
        <w:rPr>
          <w:rFonts w:ascii="Times New Roman" w:eastAsia="SimSun" w:hAnsi="Times New Roman"/>
          <w:sz w:val="28"/>
          <w:szCs w:val="28"/>
        </w:rPr>
        <w:t>ом</w:t>
      </w:r>
      <w:r w:rsidR="004D4715" w:rsidRPr="00DE3F25">
        <w:rPr>
          <w:rFonts w:ascii="Times New Roman" w:eastAsia="SimSun" w:hAnsi="Times New Roman"/>
          <w:sz w:val="28"/>
          <w:szCs w:val="28"/>
        </w:rPr>
        <w:t xml:space="preserve"> 2</w:t>
      </w:r>
      <w:r w:rsidR="00ED3C3D" w:rsidRPr="00DE3F25">
        <w:rPr>
          <w:rFonts w:ascii="Times New Roman" w:eastAsia="SimSun" w:hAnsi="Times New Roman"/>
          <w:sz w:val="28"/>
          <w:szCs w:val="28"/>
        </w:rPr>
        <w:t>.1</w:t>
      </w:r>
      <w:r w:rsidR="007359B7" w:rsidRPr="00DE3F25">
        <w:rPr>
          <w:rFonts w:ascii="Times New Roman" w:eastAsia="SimSun" w:hAnsi="Times New Roman"/>
          <w:sz w:val="28"/>
          <w:szCs w:val="28"/>
        </w:rPr>
        <w:t xml:space="preserve"> следующе</w:t>
      </w:r>
      <w:r w:rsidR="00ED3C3D" w:rsidRPr="00DE3F25">
        <w:rPr>
          <w:rFonts w:ascii="Times New Roman" w:eastAsia="SimSun" w:hAnsi="Times New Roman"/>
          <w:sz w:val="28"/>
          <w:szCs w:val="28"/>
        </w:rPr>
        <w:t>го</w:t>
      </w:r>
      <w:r w:rsidR="007359B7" w:rsidRPr="00DE3F25">
        <w:rPr>
          <w:rFonts w:ascii="Times New Roman" w:eastAsia="SimSun" w:hAnsi="Times New Roman"/>
          <w:sz w:val="28"/>
          <w:szCs w:val="28"/>
        </w:rPr>
        <w:t xml:space="preserve"> </w:t>
      </w:r>
      <w:r w:rsidR="00ED3C3D" w:rsidRPr="00DE3F25">
        <w:rPr>
          <w:rFonts w:ascii="Times New Roman" w:eastAsia="SimSun" w:hAnsi="Times New Roman"/>
          <w:sz w:val="28"/>
          <w:szCs w:val="28"/>
        </w:rPr>
        <w:t>содержания:</w:t>
      </w:r>
    </w:p>
    <w:p w:rsidR="007359B7" w:rsidRPr="00DE3F25" w:rsidRDefault="00DE3F25" w:rsidP="00DE3F25">
      <w:pPr>
        <w:pStyle w:val="a3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>«</w:t>
      </w:r>
      <w:r w:rsidR="004D4715" w:rsidRPr="00DE3F25">
        <w:rPr>
          <w:rFonts w:ascii="Times New Roman" w:eastAsia="SimSun" w:hAnsi="Times New Roman"/>
          <w:sz w:val="28"/>
          <w:szCs w:val="28"/>
          <w:lang w:eastAsia="ar-SA"/>
        </w:rPr>
        <w:t>2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>.</w:t>
      </w:r>
      <w:r w:rsidR="00ED3C3D" w:rsidRPr="00DE3F25">
        <w:rPr>
          <w:rFonts w:ascii="Times New Roman" w:eastAsia="SimSun" w:hAnsi="Times New Roman"/>
          <w:sz w:val="28"/>
          <w:szCs w:val="28"/>
          <w:lang w:eastAsia="ar-SA"/>
        </w:rPr>
        <w:t>1.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 Установить налоговые ставки налога на имущество физических лиц</w:t>
      </w:r>
      <w:r w:rsidR="00A1240F">
        <w:rPr>
          <w:rFonts w:ascii="Times New Roman" w:eastAsia="SimSun" w:hAnsi="Times New Roman"/>
          <w:sz w:val="28"/>
          <w:szCs w:val="28"/>
          <w:lang w:eastAsia="ar-SA"/>
        </w:rPr>
        <w:t>,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 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DE3F25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Объекты налогообложения</w:t>
            </w:r>
          </w:p>
        </w:tc>
      </w:tr>
      <w:tr w:rsidR="007359B7" w:rsidRPr="00DE3F25" w:rsidTr="00994497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715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ставка 2018 года</w:t>
            </w:r>
          </w:p>
          <w:p w:rsidR="007359B7" w:rsidRPr="00DE3F25" w:rsidRDefault="004D4715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0,3</w:t>
            </w:r>
            <w:r w:rsidR="00A1240F">
              <w:rPr>
                <w:rFonts w:ascii="Times New Roman" w:hAnsi="Times New Roman"/>
                <w:sz w:val="28"/>
                <w:szCs w:val="28"/>
              </w:rPr>
              <w:t>%</w:t>
            </w:r>
            <w:r w:rsidR="007359B7" w:rsidRPr="00DE3F2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1. Жилые дома, части жилых домов, квартиры, части квартир, комнаты;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 xml:space="preserve">4.Гаражи и </w:t>
            </w:r>
            <w:proofErr w:type="spellStart"/>
            <w:r w:rsidRPr="00DE3F25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 w:rsidRPr="00DE3F25">
              <w:rPr>
                <w:rFonts w:ascii="Times New Roman" w:hAnsi="Times New Roman"/>
                <w:sz w:val="28"/>
                <w:szCs w:val="28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7359B7" w:rsidRPr="00DE3F25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ставка 2018 года</w:t>
            </w:r>
          </w:p>
          <w:p w:rsidR="004D4715" w:rsidRPr="00DE3F25" w:rsidRDefault="004D4715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0,3</w:t>
            </w:r>
            <w:r w:rsidR="00A124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DE3F25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ставка 2018 года</w:t>
            </w:r>
          </w:p>
          <w:p w:rsidR="004D4715" w:rsidRPr="00DE3F25" w:rsidRDefault="00BD7B1E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1,0</w:t>
            </w:r>
            <w:r w:rsidR="00A124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 xml:space="preserve">3. Объекты налогообложения, кадастровая стоимость </w:t>
            </w:r>
            <w:r w:rsidRPr="00DE3F25">
              <w:rPr>
                <w:rFonts w:ascii="Times New Roman" w:hAnsi="Times New Roman"/>
                <w:sz w:val="28"/>
                <w:szCs w:val="28"/>
              </w:rPr>
              <w:lastRenderedPageBreak/>
              <w:t>каждого из которых превышает 300 000 000 рублей</w:t>
            </w:r>
          </w:p>
        </w:tc>
      </w:tr>
      <w:tr w:rsidR="007359B7" w:rsidRPr="00DE3F25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9B7" w:rsidRPr="00DE3F25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ставка 2018 года</w:t>
            </w:r>
          </w:p>
          <w:p w:rsidR="00BD7B1E" w:rsidRPr="00DE3F25" w:rsidRDefault="00BD7B1E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0,5</w:t>
            </w:r>
            <w:r w:rsidR="00A124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7359B7" w:rsidRPr="00DE3F25" w:rsidRDefault="007359B7" w:rsidP="00DE3F25">
      <w:pPr>
        <w:pStyle w:val="a3"/>
        <w:rPr>
          <w:rFonts w:ascii="Times New Roman" w:hAnsi="Times New Roman"/>
          <w:sz w:val="28"/>
          <w:szCs w:val="28"/>
        </w:rPr>
      </w:pPr>
    </w:p>
    <w:p w:rsidR="00ED3C3D" w:rsidRPr="00DE3F25" w:rsidRDefault="00A1240F" w:rsidP="00DE3F25">
      <w:pPr>
        <w:pStyle w:val="a3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ab/>
      </w:r>
      <w:r w:rsidR="007359B7" w:rsidRPr="00DE3F25">
        <w:rPr>
          <w:rFonts w:ascii="Times New Roman" w:eastAsia="SimSun" w:hAnsi="Times New Roman"/>
          <w:sz w:val="28"/>
          <w:szCs w:val="28"/>
        </w:rPr>
        <w:t xml:space="preserve">3. </w:t>
      </w:r>
      <w:r w:rsidR="004939A0">
        <w:rPr>
          <w:rFonts w:ascii="Times New Roman" w:eastAsia="SimSun" w:hAnsi="Times New Roman"/>
          <w:sz w:val="28"/>
          <w:szCs w:val="28"/>
        </w:rPr>
        <w:t>Решение д</w:t>
      </w:r>
      <w:r w:rsidR="00ED3C3D" w:rsidRPr="00DE3F25">
        <w:rPr>
          <w:rFonts w:ascii="Times New Roman" w:eastAsia="SimSun" w:hAnsi="Times New Roman"/>
          <w:sz w:val="28"/>
          <w:szCs w:val="28"/>
        </w:rPr>
        <w:t xml:space="preserve">ополнить </w:t>
      </w:r>
      <w:r w:rsidR="007359B7" w:rsidRPr="00DE3F25">
        <w:rPr>
          <w:rFonts w:ascii="Times New Roman" w:eastAsia="SimSun" w:hAnsi="Times New Roman"/>
          <w:sz w:val="28"/>
          <w:szCs w:val="28"/>
        </w:rPr>
        <w:t>пункт</w:t>
      </w:r>
      <w:r w:rsidR="00ED3C3D" w:rsidRPr="00DE3F25">
        <w:rPr>
          <w:rFonts w:ascii="Times New Roman" w:eastAsia="SimSun" w:hAnsi="Times New Roman"/>
          <w:sz w:val="28"/>
          <w:szCs w:val="28"/>
        </w:rPr>
        <w:t>ом</w:t>
      </w:r>
      <w:r w:rsidR="00BD7B1E" w:rsidRPr="00DE3F25">
        <w:rPr>
          <w:rFonts w:ascii="Times New Roman" w:eastAsia="SimSun" w:hAnsi="Times New Roman"/>
          <w:sz w:val="28"/>
          <w:szCs w:val="28"/>
        </w:rPr>
        <w:t xml:space="preserve"> 2</w:t>
      </w:r>
      <w:r w:rsidR="00ED3C3D" w:rsidRPr="00DE3F25">
        <w:rPr>
          <w:rFonts w:ascii="Times New Roman" w:eastAsia="SimSun" w:hAnsi="Times New Roman"/>
          <w:sz w:val="28"/>
          <w:szCs w:val="28"/>
        </w:rPr>
        <w:t>.2</w:t>
      </w:r>
      <w:r w:rsidR="007359B7" w:rsidRPr="00DE3F25">
        <w:rPr>
          <w:rFonts w:ascii="Times New Roman" w:eastAsia="SimSun" w:hAnsi="Times New Roman"/>
          <w:sz w:val="28"/>
          <w:szCs w:val="28"/>
        </w:rPr>
        <w:t xml:space="preserve"> следующе</w:t>
      </w:r>
      <w:r w:rsidR="00ED3C3D" w:rsidRPr="00DE3F25">
        <w:rPr>
          <w:rFonts w:ascii="Times New Roman" w:eastAsia="SimSun" w:hAnsi="Times New Roman"/>
          <w:sz w:val="28"/>
          <w:szCs w:val="28"/>
        </w:rPr>
        <w:t>го содержания</w:t>
      </w:r>
      <w:r w:rsidR="007359B7" w:rsidRPr="00DE3F25">
        <w:rPr>
          <w:rFonts w:ascii="Times New Roman" w:eastAsia="SimSun" w:hAnsi="Times New Roman"/>
          <w:sz w:val="28"/>
          <w:szCs w:val="28"/>
        </w:rPr>
        <w:t>:</w:t>
      </w:r>
    </w:p>
    <w:p w:rsidR="007359B7" w:rsidRPr="00DE3F25" w:rsidRDefault="004939A0" w:rsidP="00DE3F25">
      <w:pPr>
        <w:pStyle w:val="a3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>«</w:t>
      </w:r>
      <w:r w:rsidR="004D4715" w:rsidRPr="00DE3F25">
        <w:rPr>
          <w:rFonts w:ascii="Times New Roman" w:eastAsia="SimSun" w:hAnsi="Times New Roman"/>
          <w:sz w:val="28"/>
          <w:szCs w:val="28"/>
          <w:lang w:eastAsia="ar-SA"/>
        </w:rPr>
        <w:t>2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>.</w:t>
      </w:r>
      <w:r w:rsidR="00ED3C3D" w:rsidRPr="00DE3F25">
        <w:rPr>
          <w:rFonts w:ascii="Times New Roman" w:eastAsia="SimSun" w:hAnsi="Times New Roman"/>
          <w:sz w:val="28"/>
          <w:szCs w:val="28"/>
          <w:lang w:eastAsia="ar-SA"/>
        </w:rPr>
        <w:t>2.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 Установить налоговые ставки налога на имущество физических лиц</w:t>
      </w:r>
      <w:r>
        <w:rPr>
          <w:rFonts w:ascii="Times New Roman" w:eastAsia="SimSun" w:hAnsi="Times New Roman"/>
          <w:sz w:val="28"/>
          <w:szCs w:val="28"/>
          <w:lang w:eastAsia="ar-SA"/>
        </w:rPr>
        <w:t>,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  исходя из кадастровой стоимости объектов налогообложения в следующих размерах:</w:t>
      </w:r>
    </w:p>
    <w:p w:rsidR="007359B7" w:rsidRPr="00DE3F25" w:rsidRDefault="007359B7" w:rsidP="00DE3F25">
      <w:pPr>
        <w:pStyle w:val="a3"/>
        <w:rPr>
          <w:rFonts w:ascii="Times New Roman" w:eastAsia="SimSun" w:hAnsi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DE3F25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Объекты налогообложения</w:t>
            </w:r>
          </w:p>
        </w:tc>
      </w:tr>
      <w:tr w:rsidR="007359B7" w:rsidRPr="00DE3F25" w:rsidTr="00994497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ab/>
              <w:t>1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B1E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ставка на 2019 год</w:t>
            </w:r>
            <w:r w:rsidR="00ED3C3D" w:rsidRPr="00DE3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7B1E" w:rsidRPr="00DE3F25" w:rsidRDefault="00BD7B1E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0,3</w:t>
            </w:r>
            <w:r w:rsidR="004939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1. Жилые дома, части жилых домов</w:t>
            </w:r>
          </w:p>
        </w:tc>
      </w:tr>
      <w:tr w:rsidR="007359B7" w:rsidRPr="00DE3F25" w:rsidTr="00994497">
        <w:trPr>
          <w:trHeight w:val="234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ставка на 2019 год</w:t>
            </w:r>
          </w:p>
          <w:p w:rsidR="00BD7B1E" w:rsidRPr="00DE3F25" w:rsidRDefault="00BD7B1E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0,3</w:t>
            </w:r>
            <w:r w:rsidR="004939A0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1.Квартиры, части квартир, комнаты;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 xml:space="preserve">4.Гаражи и </w:t>
            </w:r>
            <w:proofErr w:type="spellStart"/>
            <w:r w:rsidRPr="00DE3F25">
              <w:rPr>
                <w:rFonts w:ascii="Times New Roman" w:hAnsi="Times New Roman"/>
                <w:sz w:val="28"/>
                <w:szCs w:val="28"/>
              </w:rPr>
              <w:t>машино-места</w:t>
            </w:r>
            <w:proofErr w:type="spellEnd"/>
            <w:r w:rsidRPr="00DE3F25">
              <w:rPr>
                <w:rFonts w:ascii="Times New Roman" w:hAnsi="Times New Roman"/>
                <w:sz w:val="28"/>
                <w:szCs w:val="28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7359B7" w:rsidRPr="00DE3F25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ставка на 2019 год</w:t>
            </w:r>
          </w:p>
          <w:p w:rsidR="00BD7B1E" w:rsidRPr="00DE3F25" w:rsidRDefault="00BD7B1E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0,3</w:t>
            </w:r>
            <w:r w:rsidR="004939A0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D7B1E" w:rsidRPr="00DE3F25" w:rsidRDefault="00BD7B1E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DE3F25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ставка на 2019 год</w:t>
            </w:r>
          </w:p>
          <w:p w:rsidR="00BD7B1E" w:rsidRPr="00DE3F25" w:rsidRDefault="00BD7B1E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2</w:t>
            </w:r>
            <w:r w:rsidR="004939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 xml:space="preserve">2. Объекты налогообложения, предусмотренные абзацем вторым пункта 10 статьи 378.2 НК РФ; </w:t>
            </w:r>
          </w:p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DE3F25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59B7" w:rsidRPr="00DE3F25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ставка на 2019 год</w:t>
            </w:r>
          </w:p>
          <w:p w:rsidR="00BD7B1E" w:rsidRPr="00DE3F25" w:rsidRDefault="00BD7B1E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0,5</w:t>
            </w:r>
            <w:r w:rsidR="004939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DE3F25" w:rsidRDefault="007359B7" w:rsidP="00DE3F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E3F25">
              <w:rPr>
                <w:rFonts w:ascii="Times New Roman" w:hAnsi="Times New Roman"/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7359B7" w:rsidRPr="00DE3F25" w:rsidRDefault="007359B7" w:rsidP="00DE3F25">
      <w:pPr>
        <w:pStyle w:val="a3"/>
        <w:rPr>
          <w:rFonts w:ascii="Times New Roman" w:hAnsi="Times New Roman"/>
          <w:sz w:val="28"/>
          <w:szCs w:val="28"/>
        </w:rPr>
      </w:pPr>
    </w:p>
    <w:p w:rsidR="007359B7" w:rsidRPr="00DE3F25" w:rsidRDefault="00DE3F25" w:rsidP="00DE3F25">
      <w:pPr>
        <w:pStyle w:val="a3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4939A0">
        <w:rPr>
          <w:rFonts w:ascii="Times New Roman" w:eastAsia="SimSun" w:hAnsi="Times New Roman"/>
          <w:sz w:val="28"/>
          <w:szCs w:val="28"/>
          <w:lang w:eastAsia="ar-SA"/>
        </w:rPr>
        <w:t>4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>. Настоящее решение подлежит официальному опубликованию.</w:t>
      </w:r>
    </w:p>
    <w:p w:rsidR="007359B7" w:rsidRPr="00DE3F25" w:rsidRDefault="00DE3F25" w:rsidP="00DE3F25">
      <w:pPr>
        <w:pStyle w:val="a3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4939A0">
        <w:rPr>
          <w:rFonts w:ascii="Times New Roman" w:eastAsia="SimSun" w:hAnsi="Times New Roman"/>
          <w:sz w:val="28"/>
          <w:szCs w:val="28"/>
          <w:lang w:eastAsia="ar-SA"/>
        </w:rPr>
        <w:t>5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. </w:t>
      </w:r>
      <w:r w:rsidR="007359B7" w:rsidRPr="00DE3F25">
        <w:rPr>
          <w:rFonts w:ascii="Times New Roman" w:eastAsia="SimSun" w:hAnsi="Times New Roman"/>
          <w:color w:val="000000"/>
          <w:sz w:val="28"/>
          <w:szCs w:val="28"/>
          <w:lang w:eastAsia="ar-SA"/>
        </w:rPr>
        <w:t>Копию настоящего решения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>
        <w:rPr>
          <w:rFonts w:ascii="Times New Roman" w:eastAsia="SimSun" w:hAnsi="Times New Roman"/>
          <w:sz w:val="28"/>
          <w:szCs w:val="28"/>
          <w:lang w:eastAsia="ar-SA"/>
        </w:rPr>
        <w:t>12</w:t>
      </w:r>
      <w:r w:rsidR="008D2E57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54114B" w:rsidRDefault="00DE3F25" w:rsidP="004939A0">
      <w:pPr>
        <w:pStyle w:val="a3"/>
        <w:rPr>
          <w:rFonts w:eastAsia="SimSun"/>
          <w:lang w:eastAsia="ar-SA"/>
        </w:rPr>
      </w:pPr>
      <w:r>
        <w:rPr>
          <w:rFonts w:eastAsia="SimSun"/>
          <w:lang w:eastAsia="ar-SA"/>
        </w:rPr>
        <w:lastRenderedPageBreak/>
        <w:tab/>
      </w:r>
    </w:p>
    <w:p w:rsidR="0054114B" w:rsidRDefault="0054114B" w:rsidP="004939A0">
      <w:pPr>
        <w:pStyle w:val="a3"/>
        <w:rPr>
          <w:rFonts w:eastAsia="SimSun"/>
          <w:lang w:eastAsia="ar-SA"/>
        </w:rPr>
      </w:pPr>
    </w:p>
    <w:p w:rsidR="007359B7" w:rsidRPr="004939A0" w:rsidRDefault="0054114B" w:rsidP="004939A0">
      <w:pPr>
        <w:pStyle w:val="a3"/>
        <w:rPr>
          <w:rFonts w:ascii="Times New Roman" w:eastAsia="SimSun" w:hAnsi="Times New Roman"/>
          <w:sz w:val="28"/>
          <w:szCs w:val="28"/>
        </w:rPr>
      </w:pPr>
      <w:r>
        <w:rPr>
          <w:rFonts w:eastAsia="SimSun"/>
          <w:lang w:eastAsia="ar-SA"/>
        </w:rPr>
        <w:tab/>
      </w:r>
      <w:r w:rsidR="004939A0">
        <w:rPr>
          <w:rFonts w:ascii="Times New Roman" w:eastAsia="SimSun" w:hAnsi="Times New Roman"/>
          <w:sz w:val="28"/>
          <w:szCs w:val="28"/>
        </w:rPr>
        <w:t>6</w:t>
      </w:r>
      <w:r w:rsidR="007359B7" w:rsidRPr="004939A0">
        <w:rPr>
          <w:rFonts w:ascii="Times New Roman" w:eastAsia="SimSun" w:hAnsi="Times New Roman"/>
          <w:sz w:val="28"/>
          <w:szCs w:val="28"/>
        </w:rPr>
        <w:t>. Опубликовать настоящее решение в газете «</w:t>
      </w:r>
      <w:r w:rsidR="00BD7B1E" w:rsidRPr="004939A0">
        <w:rPr>
          <w:rFonts w:ascii="Times New Roman" w:eastAsia="SimSun" w:hAnsi="Times New Roman"/>
          <w:sz w:val="28"/>
          <w:szCs w:val="28"/>
        </w:rPr>
        <w:t>Вперед</w:t>
      </w:r>
      <w:r w:rsidR="007359B7" w:rsidRPr="004939A0">
        <w:rPr>
          <w:rFonts w:ascii="Times New Roman" w:eastAsia="SimSun" w:hAnsi="Times New Roman"/>
          <w:sz w:val="28"/>
          <w:szCs w:val="28"/>
        </w:rPr>
        <w:t>» и размест</w:t>
      </w:r>
      <w:r w:rsidR="00DE3F25" w:rsidRPr="004939A0">
        <w:rPr>
          <w:rFonts w:ascii="Times New Roman" w:eastAsia="SimSun" w:hAnsi="Times New Roman"/>
          <w:sz w:val="28"/>
          <w:szCs w:val="28"/>
        </w:rPr>
        <w:t xml:space="preserve">ить на официальном сайте администрации </w:t>
      </w:r>
      <w:proofErr w:type="spellStart"/>
      <w:r w:rsidR="00DE3F25" w:rsidRPr="004939A0">
        <w:rPr>
          <w:rFonts w:ascii="Times New Roman" w:eastAsia="SimSun" w:hAnsi="Times New Roman"/>
          <w:sz w:val="28"/>
          <w:szCs w:val="28"/>
        </w:rPr>
        <w:t>Глебовского</w:t>
      </w:r>
      <w:proofErr w:type="spellEnd"/>
      <w:r w:rsidR="00DE3F25" w:rsidRPr="004939A0">
        <w:rPr>
          <w:rFonts w:ascii="Times New Roman" w:eastAsia="SimSun" w:hAnsi="Times New Roman"/>
          <w:sz w:val="28"/>
          <w:szCs w:val="28"/>
        </w:rPr>
        <w:t xml:space="preserve"> сельского поселения</w:t>
      </w:r>
      <w:r w:rsidR="004939A0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="00DE3F25" w:rsidRPr="004939A0">
        <w:rPr>
          <w:rFonts w:ascii="Times New Roman" w:eastAsia="SimSun" w:hAnsi="Times New Roman"/>
          <w:sz w:val="28"/>
          <w:szCs w:val="28"/>
        </w:rPr>
        <w:t>Кущевского</w:t>
      </w:r>
      <w:proofErr w:type="spellEnd"/>
      <w:r w:rsidR="00DE3F25" w:rsidRPr="004939A0">
        <w:rPr>
          <w:rFonts w:ascii="Times New Roman" w:eastAsia="SimSun" w:hAnsi="Times New Roman"/>
          <w:sz w:val="28"/>
          <w:szCs w:val="28"/>
        </w:rPr>
        <w:t xml:space="preserve"> района </w:t>
      </w:r>
      <w:r w:rsidR="007359B7" w:rsidRPr="004939A0">
        <w:rPr>
          <w:rFonts w:ascii="Times New Roman" w:eastAsia="SimSun" w:hAnsi="Times New Roman"/>
          <w:sz w:val="28"/>
          <w:szCs w:val="28"/>
        </w:rPr>
        <w:t>в информац</w:t>
      </w:r>
      <w:r w:rsidR="004939A0">
        <w:rPr>
          <w:rFonts w:ascii="Times New Roman" w:eastAsia="SimSun" w:hAnsi="Times New Roman"/>
          <w:sz w:val="28"/>
          <w:szCs w:val="28"/>
        </w:rPr>
        <w:t xml:space="preserve">ионно-телекоммуникационной сети </w:t>
      </w:r>
      <w:r w:rsidR="007359B7" w:rsidRPr="004939A0">
        <w:rPr>
          <w:rFonts w:ascii="Times New Roman" w:eastAsia="SimSun" w:hAnsi="Times New Roman"/>
          <w:sz w:val="28"/>
          <w:szCs w:val="28"/>
        </w:rPr>
        <w:t>«Интернет».</w:t>
      </w:r>
    </w:p>
    <w:p w:rsidR="00A1240F" w:rsidRPr="00A1240F" w:rsidRDefault="00A1240F" w:rsidP="00A1240F">
      <w:pPr>
        <w:pStyle w:val="Style2"/>
        <w:widowControl/>
        <w:jc w:val="both"/>
        <w:rPr>
          <w:sz w:val="28"/>
          <w:u w:val="single"/>
        </w:rPr>
      </w:pPr>
      <w:r>
        <w:rPr>
          <w:rFonts w:eastAsia="SimSun"/>
          <w:sz w:val="28"/>
          <w:szCs w:val="28"/>
        </w:rPr>
        <w:tab/>
      </w:r>
      <w:r w:rsidR="004939A0">
        <w:rPr>
          <w:rFonts w:eastAsia="SimSun"/>
          <w:sz w:val="28"/>
          <w:szCs w:val="28"/>
        </w:rPr>
        <w:t>7</w:t>
      </w:r>
      <w:r w:rsidR="007359B7" w:rsidRPr="00A1240F">
        <w:rPr>
          <w:rFonts w:eastAsia="SimSun"/>
          <w:sz w:val="28"/>
          <w:szCs w:val="28"/>
        </w:rPr>
        <w:t xml:space="preserve">. </w:t>
      </w:r>
      <w:proofErr w:type="gramStart"/>
      <w:r w:rsidR="007359B7" w:rsidRPr="00A1240F">
        <w:rPr>
          <w:rFonts w:eastAsia="SimSun"/>
          <w:sz w:val="28"/>
          <w:szCs w:val="28"/>
        </w:rPr>
        <w:t>Контроль за</w:t>
      </w:r>
      <w:proofErr w:type="gramEnd"/>
      <w:r w:rsidR="007359B7" w:rsidRPr="00A1240F">
        <w:rPr>
          <w:rFonts w:eastAsia="SimSun"/>
          <w:sz w:val="28"/>
          <w:szCs w:val="28"/>
        </w:rPr>
        <w:t xml:space="preserve"> выполнением настоящег</w:t>
      </w:r>
      <w:r>
        <w:rPr>
          <w:rFonts w:eastAsia="SimSun"/>
          <w:sz w:val="28"/>
          <w:szCs w:val="28"/>
        </w:rPr>
        <w:t>о решения возложить на комиссию</w:t>
      </w:r>
      <w:r w:rsidRPr="00A1240F">
        <w:rPr>
          <w:sz w:val="28"/>
        </w:rPr>
        <w:t xml:space="preserve"> по экономической, бюджетно-налоговой политике, финансам и собственности</w:t>
      </w:r>
      <w:r>
        <w:rPr>
          <w:sz w:val="28"/>
        </w:rPr>
        <w:t xml:space="preserve"> Совета </w:t>
      </w:r>
      <w:proofErr w:type="spellStart"/>
      <w:r>
        <w:rPr>
          <w:sz w:val="28"/>
        </w:rPr>
        <w:t>Глебовского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Кущевского</w:t>
      </w:r>
      <w:proofErr w:type="spellEnd"/>
      <w:r>
        <w:rPr>
          <w:sz w:val="28"/>
        </w:rPr>
        <w:t xml:space="preserve"> района.</w:t>
      </w:r>
    </w:p>
    <w:p w:rsidR="007359B7" w:rsidRPr="00DE3F25" w:rsidRDefault="00A1240F" w:rsidP="00DE3F25">
      <w:pPr>
        <w:pStyle w:val="a3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4939A0">
        <w:rPr>
          <w:rFonts w:ascii="Times New Roman" w:eastAsia="SimSun" w:hAnsi="Times New Roman"/>
          <w:sz w:val="28"/>
          <w:szCs w:val="28"/>
          <w:lang w:eastAsia="ar-SA"/>
        </w:rPr>
        <w:t>8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. </w:t>
      </w:r>
      <w:r w:rsidR="004939A0">
        <w:rPr>
          <w:rFonts w:ascii="Times New Roman" w:eastAsia="SimSun" w:hAnsi="Times New Roman"/>
          <w:sz w:val="28"/>
          <w:szCs w:val="28"/>
          <w:lang w:eastAsia="ar-SA"/>
        </w:rPr>
        <w:t xml:space="preserve"> Пункта 2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</w:t>
      </w:r>
      <w:r w:rsidR="008D2E57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года 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>по 31 декабря 2017 года.</w:t>
      </w:r>
    </w:p>
    <w:p w:rsidR="007359B7" w:rsidRPr="00DE3F25" w:rsidRDefault="00A1240F" w:rsidP="00DE3F25">
      <w:pPr>
        <w:pStyle w:val="a3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4939A0">
        <w:rPr>
          <w:rFonts w:ascii="Times New Roman" w:eastAsia="SimSun" w:hAnsi="Times New Roman"/>
          <w:sz w:val="28"/>
          <w:szCs w:val="28"/>
          <w:lang w:eastAsia="ar-SA"/>
        </w:rPr>
        <w:t>9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. </w:t>
      </w:r>
      <w:r w:rsidR="004939A0">
        <w:rPr>
          <w:rFonts w:ascii="Times New Roman" w:eastAsia="SimSun" w:hAnsi="Times New Roman"/>
          <w:sz w:val="28"/>
          <w:szCs w:val="28"/>
          <w:lang w:eastAsia="ar-SA"/>
        </w:rPr>
        <w:t>П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>у</w:t>
      </w:r>
      <w:r w:rsidR="004939A0">
        <w:rPr>
          <w:rFonts w:ascii="Times New Roman" w:eastAsia="SimSun" w:hAnsi="Times New Roman"/>
          <w:sz w:val="28"/>
          <w:szCs w:val="28"/>
          <w:lang w:eastAsia="ar-SA"/>
        </w:rPr>
        <w:t>нкт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="004939A0">
        <w:rPr>
          <w:rFonts w:ascii="Times New Roman" w:eastAsia="SimSun" w:hAnsi="Times New Roman"/>
          <w:sz w:val="28"/>
          <w:szCs w:val="28"/>
          <w:lang w:eastAsia="ar-SA"/>
        </w:rPr>
        <w:t>2.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1 настоящего решения вступает в силу со дня его официального опубликования и распространяется на правоотношения, </w:t>
      </w:r>
      <w:r w:rsidR="00ED3C3D" w:rsidRPr="00DE3F25">
        <w:rPr>
          <w:rFonts w:ascii="Times New Roman" w:eastAsia="SimSun" w:hAnsi="Times New Roman"/>
          <w:sz w:val="28"/>
          <w:szCs w:val="28"/>
          <w:lang w:eastAsia="ar-SA"/>
        </w:rPr>
        <w:t>возникшие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 с 1 января 2018</w:t>
      </w:r>
      <w:r w:rsidR="008D2E57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 года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>.</w:t>
      </w:r>
    </w:p>
    <w:p w:rsidR="007359B7" w:rsidRPr="00DE3F25" w:rsidRDefault="00A1240F" w:rsidP="00DE3F25">
      <w:pPr>
        <w:pStyle w:val="a3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ab/>
      </w:r>
      <w:r w:rsidR="004939A0">
        <w:rPr>
          <w:rFonts w:ascii="Times New Roman" w:eastAsia="SimSun" w:hAnsi="Times New Roman"/>
          <w:sz w:val="28"/>
          <w:szCs w:val="28"/>
          <w:lang w:eastAsia="ar-SA"/>
        </w:rPr>
        <w:t>10.  Пункт 2.2.</w:t>
      </w:r>
      <w:r w:rsidR="007359B7" w:rsidRPr="00DE3F25">
        <w:rPr>
          <w:rFonts w:ascii="Times New Roman" w:eastAsia="SimSun" w:hAnsi="Times New Roman"/>
          <w:sz w:val="28"/>
          <w:szCs w:val="28"/>
          <w:lang w:eastAsia="ar-SA"/>
        </w:rPr>
        <w:t xml:space="preserve">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7359B7" w:rsidRPr="00DE3F25" w:rsidRDefault="00A1240F" w:rsidP="00DE3F25">
      <w:pPr>
        <w:pStyle w:val="a3"/>
        <w:rPr>
          <w:rFonts w:ascii="Times New Roman" w:eastAsia="SimSun" w:hAnsi="Times New Roman"/>
          <w:iCs/>
          <w:sz w:val="28"/>
          <w:szCs w:val="28"/>
          <w:lang w:eastAsia="ar-SA"/>
        </w:rPr>
      </w:pPr>
      <w:r>
        <w:rPr>
          <w:rFonts w:ascii="Times New Roman" w:eastAsia="SimSun" w:hAnsi="Times New Roman"/>
          <w:iCs/>
          <w:sz w:val="28"/>
          <w:szCs w:val="28"/>
          <w:lang w:eastAsia="ar-SA"/>
        </w:rPr>
        <w:tab/>
      </w:r>
      <w:r w:rsidR="00393F67" w:rsidRPr="00393F67">
        <w:rPr>
          <w:rFonts w:ascii="Times New Roman" w:eastAsia="SimSun" w:hAnsi="Times New Roman"/>
          <w:iCs/>
          <w:sz w:val="28"/>
          <w:szCs w:val="28"/>
          <w:lang w:eastAsia="ar-SA"/>
        </w:rPr>
        <w:t>9. Пункты 4-7</w:t>
      </w:r>
      <w:r w:rsidR="00816387" w:rsidRPr="00393F67">
        <w:rPr>
          <w:rFonts w:ascii="Times New Roman" w:eastAsia="SimSun" w:hAnsi="Times New Roman"/>
          <w:iCs/>
          <w:sz w:val="28"/>
          <w:szCs w:val="28"/>
          <w:lang w:eastAsia="ar-SA"/>
        </w:rPr>
        <w:t xml:space="preserve"> настоящего решения вступают в силу со дня его официального опубликования.</w:t>
      </w:r>
    </w:p>
    <w:p w:rsidR="007359B7" w:rsidRPr="00DE3F25" w:rsidRDefault="007359B7" w:rsidP="00DE3F25">
      <w:pPr>
        <w:pStyle w:val="a3"/>
        <w:rPr>
          <w:rFonts w:ascii="Times New Roman" w:eastAsia="SimSun" w:hAnsi="Times New Roman"/>
          <w:iCs/>
          <w:sz w:val="28"/>
          <w:szCs w:val="28"/>
          <w:lang w:eastAsia="ar-SA"/>
        </w:rPr>
      </w:pPr>
    </w:p>
    <w:p w:rsidR="00816387" w:rsidRPr="00DE3F25" w:rsidRDefault="00816387" w:rsidP="00DE3F25">
      <w:pPr>
        <w:pStyle w:val="a3"/>
        <w:rPr>
          <w:rFonts w:ascii="Times New Roman" w:eastAsia="SimSun" w:hAnsi="Times New Roman"/>
          <w:iCs/>
          <w:sz w:val="28"/>
          <w:szCs w:val="28"/>
          <w:lang w:eastAsia="ar-SA"/>
        </w:rPr>
      </w:pPr>
    </w:p>
    <w:p w:rsidR="007359B7" w:rsidRDefault="0054114B" w:rsidP="00DE3F25">
      <w:pPr>
        <w:pStyle w:val="a3"/>
        <w:rPr>
          <w:rFonts w:ascii="Times New Roman" w:eastAsia="SimSun" w:hAnsi="Times New Roman"/>
          <w:i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SimSun" w:hAnsi="Times New Roman"/>
          <w:iCs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SimSun" w:hAnsi="Times New Roman"/>
          <w:iCs/>
          <w:sz w:val="28"/>
          <w:szCs w:val="28"/>
          <w:lang w:eastAsia="ar-SA"/>
        </w:rPr>
        <w:t>Глебовского</w:t>
      </w:r>
      <w:proofErr w:type="spellEnd"/>
      <w:r>
        <w:rPr>
          <w:rFonts w:ascii="Times New Roman" w:eastAsia="SimSun" w:hAnsi="Times New Roman"/>
          <w:i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SimSun" w:hAnsi="Times New Roman"/>
          <w:iCs/>
          <w:sz w:val="28"/>
          <w:szCs w:val="28"/>
          <w:lang w:eastAsia="ar-SA"/>
        </w:rPr>
        <w:t>сельского</w:t>
      </w:r>
      <w:proofErr w:type="gramEnd"/>
    </w:p>
    <w:p w:rsidR="0054114B" w:rsidRPr="00DE3F25" w:rsidRDefault="0054114B" w:rsidP="00DE3F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iCs/>
          <w:sz w:val="28"/>
          <w:szCs w:val="28"/>
          <w:lang w:eastAsia="ar-SA"/>
        </w:rPr>
        <w:t xml:space="preserve">поселения </w:t>
      </w:r>
      <w:proofErr w:type="spellStart"/>
      <w:r>
        <w:rPr>
          <w:rFonts w:ascii="Times New Roman" w:eastAsia="SimSun" w:hAnsi="Times New Roman"/>
          <w:iCs/>
          <w:sz w:val="28"/>
          <w:szCs w:val="28"/>
          <w:lang w:eastAsia="ar-SA"/>
        </w:rPr>
        <w:t>Кущевского</w:t>
      </w:r>
      <w:proofErr w:type="spellEnd"/>
      <w:r>
        <w:rPr>
          <w:rFonts w:ascii="Times New Roman" w:eastAsia="SimSun" w:hAnsi="Times New Roman"/>
          <w:iCs/>
          <w:sz w:val="28"/>
          <w:szCs w:val="28"/>
          <w:lang w:eastAsia="ar-SA"/>
        </w:rPr>
        <w:t xml:space="preserve"> района                                               А.В.Дудко</w:t>
      </w:r>
    </w:p>
    <w:p w:rsidR="007359B7" w:rsidRPr="00DE3F25" w:rsidRDefault="007359B7" w:rsidP="00DE3F25">
      <w:pPr>
        <w:pStyle w:val="a3"/>
        <w:rPr>
          <w:rFonts w:ascii="Times New Roman" w:hAnsi="Times New Roman"/>
          <w:sz w:val="28"/>
          <w:szCs w:val="28"/>
        </w:rPr>
      </w:pPr>
    </w:p>
    <w:p w:rsidR="00C07A1F" w:rsidRPr="00DE3F25" w:rsidRDefault="0054114B" w:rsidP="00DE3F25">
      <w:pPr>
        <w:pStyle w:val="a3"/>
        <w:rPr>
          <w:rFonts w:ascii="Times New Roman" w:hAnsi="Times New Roman"/>
          <w:sz w:val="28"/>
          <w:szCs w:val="28"/>
        </w:rPr>
      </w:pPr>
    </w:p>
    <w:sectPr w:rsidR="00C07A1F" w:rsidRPr="00DE3F25" w:rsidSect="00A1240F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9A7"/>
    <w:multiLevelType w:val="hybridMultilevel"/>
    <w:tmpl w:val="3C32B01A"/>
    <w:lvl w:ilvl="0" w:tplc="B7B8A2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characterSpacingControl w:val="doNotCompress"/>
  <w:compat/>
  <w:rsids>
    <w:rsidRoot w:val="007359B7"/>
    <w:rsid w:val="00064956"/>
    <w:rsid w:val="00393F67"/>
    <w:rsid w:val="00411410"/>
    <w:rsid w:val="004939A0"/>
    <w:rsid w:val="004D4715"/>
    <w:rsid w:val="0054114B"/>
    <w:rsid w:val="006B68CA"/>
    <w:rsid w:val="00734EF4"/>
    <w:rsid w:val="007359B7"/>
    <w:rsid w:val="00816387"/>
    <w:rsid w:val="00876ED7"/>
    <w:rsid w:val="008C3C2B"/>
    <w:rsid w:val="008D2E57"/>
    <w:rsid w:val="00A1240F"/>
    <w:rsid w:val="00BD7B1E"/>
    <w:rsid w:val="00C14B17"/>
    <w:rsid w:val="00DD61AB"/>
    <w:rsid w:val="00DE3F25"/>
    <w:rsid w:val="00ED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7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715"/>
    <w:pPr>
      <w:ind w:left="720"/>
      <w:contextualSpacing/>
    </w:pPr>
  </w:style>
  <w:style w:type="character" w:customStyle="1" w:styleId="FontStyle28">
    <w:name w:val="Font Style28"/>
    <w:basedOn w:val="a0"/>
    <w:rsid w:val="00BD7B1E"/>
    <w:rPr>
      <w:rFonts w:ascii="Times New Roman" w:hAnsi="Times New Roman" w:cs="Times New Roman"/>
      <w:sz w:val="26"/>
      <w:szCs w:val="26"/>
      <w:lang w:val="ru-RU" w:eastAsia="ar-SA" w:bidi="ar-SA"/>
    </w:rPr>
  </w:style>
  <w:style w:type="paragraph" w:customStyle="1" w:styleId="Style20">
    <w:name w:val="Style20"/>
    <w:basedOn w:val="a"/>
    <w:rsid w:val="008C3C2B"/>
    <w:pPr>
      <w:widowControl w:val="0"/>
      <w:suppressAutoHyphens/>
      <w:autoSpaceDE w:val="0"/>
      <w:spacing w:after="0" w:line="326" w:lineRule="exact"/>
      <w:ind w:firstLine="816"/>
      <w:jc w:val="both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Style2">
    <w:name w:val="Style2"/>
    <w:basedOn w:val="a"/>
    <w:rsid w:val="00A1240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7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7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4715"/>
    <w:pPr>
      <w:ind w:left="720"/>
      <w:contextualSpacing/>
    </w:pPr>
  </w:style>
  <w:style w:type="character" w:customStyle="1" w:styleId="FontStyle28">
    <w:name w:val="Font Style28"/>
    <w:basedOn w:val="a0"/>
    <w:rsid w:val="00BD7B1E"/>
    <w:rPr>
      <w:rFonts w:ascii="Times New Roman" w:hAnsi="Times New Roman" w:cs="Times New Roman"/>
      <w:sz w:val="26"/>
      <w:szCs w:val="26"/>
      <w:lang w:val="ru-RU" w:eastAsia="ar-SA" w:bidi="ar-SA"/>
    </w:rPr>
  </w:style>
  <w:style w:type="paragraph" w:customStyle="1" w:styleId="Style20">
    <w:name w:val="Style20"/>
    <w:basedOn w:val="a"/>
    <w:rsid w:val="008C3C2B"/>
    <w:pPr>
      <w:widowControl w:val="0"/>
      <w:suppressAutoHyphens/>
      <w:autoSpaceDE w:val="0"/>
      <w:spacing w:after="0" w:line="326" w:lineRule="exact"/>
      <w:ind w:firstLine="816"/>
      <w:jc w:val="both"/>
    </w:pPr>
    <w:rPr>
      <w:rFonts w:ascii="Arial" w:eastAsia="Lucida Sans Unicode" w:hAnsi="Arial" w:cs="Tahom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11</cp:revision>
  <cp:lastPrinted>2018-11-23T06:32:00Z</cp:lastPrinted>
  <dcterms:created xsi:type="dcterms:W3CDTF">2018-10-08T15:35:00Z</dcterms:created>
  <dcterms:modified xsi:type="dcterms:W3CDTF">2018-11-23T06:32:00Z</dcterms:modified>
</cp:coreProperties>
</file>