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5B" w:rsidRPr="00393A7C" w:rsidRDefault="00183D5B" w:rsidP="00183D5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38150" cy="4857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</w:t>
      </w:r>
    </w:p>
    <w:p w:rsidR="00183D5B" w:rsidRPr="006B4F3F" w:rsidRDefault="00183D5B" w:rsidP="00183D5B">
      <w:pPr>
        <w:pStyle w:val="aa"/>
        <w:jc w:val="center"/>
        <w:rPr>
          <w:b/>
          <w:sz w:val="28"/>
          <w:szCs w:val="28"/>
        </w:rPr>
      </w:pPr>
      <w:r w:rsidRPr="006B4F3F">
        <w:rPr>
          <w:b/>
          <w:sz w:val="28"/>
          <w:szCs w:val="28"/>
        </w:rPr>
        <w:t>АДМИНИСТРАЦИЯ  ГЛЕБОВСКОГО СЕЛЬСКОГО ПОСЕЛЕНИЯ</w:t>
      </w:r>
    </w:p>
    <w:p w:rsidR="00183D5B" w:rsidRPr="006B4F3F" w:rsidRDefault="00183D5B" w:rsidP="00183D5B">
      <w:pPr>
        <w:pStyle w:val="aa"/>
        <w:jc w:val="center"/>
        <w:rPr>
          <w:b/>
          <w:sz w:val="28"/>
          <w:szCs w:val="28"/>
        </w:rPr>
      </w:pPr>
      <w:r w:rsidRPr="006B4F3F">
        <w:rPr>
          <w:b/>
          <w:sz w:val="28"/>
          <w:szCs w:val="28"/>
        </w:rPr>
        <w:t>КУЩЕВСКОГО  РАЙОНА</w:t>
      </w:r>
    </w:p>
    <w:p w:rsidR="00183D5B" w:rsidRPr="006B4F3F" w:rsidRDefault="00183D5B" w:rsidP="00183D5B">
      <w:pPr>
        <w:pStyle w:val="aa"/>
        <w:jc w:val="center"/>
        <w:rPr>
          <w:b/>
          <w:sz w:val="28"/>
          <w:szCs w:val="28"/>
        </w:rPr>
      </w:pPr>
    </w:p>
    <w:p w:rsidR="00183D5B" w:rsidRPr="006B4F3F" w:rsidRDefault="00183D5B" w:rsidP="00183D5B">
      <w:pPr>
        <w:pStyle w:val="aa"/>
        <w:jc w:val="center"/>
        <w:rPr>
          <w:b/>
          <w:sz w:val="28"/>
          <w:szCs w:val="28"/>
        </w:rPr>
      </w:pPr>
      <w:r w:rsidRPr="006B4F3F">
        <w:rPr>
          <w:b/>
          <w:sz w:val="28"/>
          <w:szCs w:val="28"/>
        </w:rPr>
        <w:t>ПОСТАНОВЛЕНИЕ</w:t>
      </w:r>
    </w:p>
    <w:p w:rsidR="00183D5B" w:rsidRPr="006B4F3F" w:rsidRDefault="00183D5B" w:rsidP="00183D5B">
      <w:pPr>
        <w:ind w:right="-425"/>
        <w:jc w:val="center"/>
        <w:rPr>
          <w:b/>
          <w:bCs/>
        </w:rPr>
      </w:pPr>
    </w:p>
    <w:p w:rsidR="00183D5B" w:rsidRPr="00183D5B" w:rsidRDefault="00183D5B" w:rsidP="00183D5B">
      <w:pPr>
        <w:ind w:right="-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3D5B">
        <w:rPr>
          <w:rFonts w:ascii="Times New Roman" w:hAnsi="Times New Roman" w:cs="Times New Roman"/>
          <w:bCs/>
          <w:sz w:val="28"/>
          <w:szCs w:val="28"/>
        </w:rPr>
        <w:t>15.05.2019 года                                                                             № 41</w:t>
      </w:r>
    </w:p>
    <w:p w:rsidR="00183D5B" w:rsidRPr="00183D5B" w:rsidRDefault="00183D5B" w:rsidP="00183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3D5B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Pr="00183D5B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183D5B">
        <w:rPr>
          <w:rFonts w:ascii="Times New Roman" w:hAnsi="Times New Roman" w:cs="Times New Roman"/>
          <w:bCs/>
          <w:sz w:val="28"/>
          <w:szCs w:val="28"/>
        </w:rPr>
        <w:t>лебовка</w:t>
      </w:r>
      <w:proofErr w:type="spellEnd"/>
    </w:p>
    <w:p w:rsidR="00CB2E4C" w:rsidRPr="007C1EFF" w:rsidRDefault="00CB2E4C" w:rsidP="00CB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требований к договорам о предоставлении бюджетных инвестиций</w:t>
      </w:r>
      <w:r w:rsidR="00AC6138" w:rsidRPr="007C1EFF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юридическим лицам, не являющим</w:t>
      </w:r>
      <w:r w:rsidRPr="007C1EFF">
        <w:rPr>
          <w:rFonts w:ascii="Times New Roman" w:eastAsia="Times New Roman" w:hAnsi="Times New Roman" w:cs="Times New Roman"/>
          <w:b/>
          <w:sz w:val="28"/>
          <w:szCs w:val="28"/>
        </w:rPr>
        <w:t>ся муниципальными учреждениями и муниципальными унитарными предприятиями, за счет средств местного бюджета</w:t>
      </w:r>
    </w:p>
    <w:p w:rsidR="00CB2E4C" w:rsidRPr="007C1EFF" w:rsidRDefault="00CB2E4C" w:rsidP="00CB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ст. 80 Бюджетного кодекса Российской Фед</w:t>
      </w:r>
      <w:r w:rsidR="00CD6959">
        <w:rPr>
          <w:rFonts w:ascii="Times New Roman" w:eastAsia="Times New Roman" w:hAnsi="Times New Roman" w:cs="Times New Roman"/>
          <w:sz w:val="28"/>
          <w:szCs w:val="28"/>
        </w:rPr>
        <w:t xml:space="preserve">ерации, Уставом </w:t>
      </w:r>
      <w:proofErr w:type="spellStart"/>
      <w:r w:rsidR="001C660E">
        <w:rPr>
          <w:rFonts w:ascii="Times New Roman" w:eastAsia="Times New Roman" w:hAnsi="Times New Roman" w:cs="Times New Roman"/>
          <w:sz w:val="28"/>
          <w:szCs w:val="28"/>
        </w:rPr>
        <w:t>Глебовского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14DFF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14D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D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 w:rsidRPr="007C1E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7C1E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C1EFF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:rsidR="00CB2E4C" w:rsidRPr="007C1EFF" w:rsidRDefault="00E341F9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Начальнику общего отдела</w:t>
      </w:r>
      <w:bookmarkStart w:id="0" w:name="_GoBack"/>
      <w:bookmarkEnd w:id="0"/>
      <w:r w:rsidR="00CA38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660E">
        <w:rPr>
          <w:rFonts w:ascii="Times New Roman" w:eastAsia="Times New Roman" w:hAnsi="Times New Roman" w:cs="Times New Roman"/>
          <w:sz w:val="28"/>
          <w:szCs w:val="28"/>
        </w:rPr>
        <w:t>Глебовского</w:t>
      </w:r>
      <w:proofErr w:type="spellEnd"/>
      <w:r w:rsidR="00CA38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 w:rsidR="001C660E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 w:rsidR="001C660E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1C660E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="001C660E">
        <w:rPr>
          <w:rFonts w:ascii="Times New Roman" w:eastAsia="Times New Roman" w:hAnsi="Times New Roman" w:cs="Times New Roman"/>
          <w:sz w:val="28"/>
          <w:szCs w:val="28"/>
        </w:rPr>
        <w:t>Гурушкина</w:t>
      </w:r>
      <w:proofErr w:type="spellEnd"/>
      <w:r w:rsidR="00CA38D4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и </w:t>
      </w:r>
      <w:proofErr w:type="gramStart"/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разместить его</w:t>
      </w:r>
      <w:proofErr w:type="gramEnd"/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CA38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660E">
        <w:rPr>
          <w:rFonts w:ascii="Times New Roman" w:eastAsia="Times New Roman" w:hAnsi="Times New Roman" w:cs="Times New Roman"/>
          <w:sz w:val="28"/>
          <w:szCs w:val="28"/>
        </w:rPr>
        <w:t>Глебовского</w:t>
      </w:r>
      <w:proofErr w:type="spellEnd"/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1BFF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331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4C" w:rsidRPr="007C1EFF">
        <w:rPr>
          <w:rFonts w:ascii="Times New Roman" w:eastAsia="Times New Roman" w:hAnsi="Times New Roman" w:cs="Times New Roman"/>
          <w:sz w:val="28"/>
          <w:szCs w:val="28"/>
        </w:rPr>
        <w:t>района в сети Интернет.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FF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D5B" w:rsidRPr="00183D5B" w:rsidRDefault="00183D5B" w:rsidP="00183D5B">
      <w:pPr>
        <w:pStyle w:val="aa"/>
        <w:jc w:val="both"/>
        <w:rPr>
          <w:sz w:val="28"/>
          <w:szCs w:val="28"/>
        </w:rPr>
      </w:pPr>
      <w:r w:rsidRPr="00183D5B">
        <w:rPr>
          <w:sz w:val="28"/>
          <w:szCs w:val="28"/>
        </w:rPr>
        <w:t xml:space="preserve">Глава </w:t>
      </w:r>
      <w:proofErr w:type="spellStart"/>
      <w:r w:rsidRPr="00183D5B">
        <w:rPr>
          <w:sz w:val="28"/>
          <w:szCs w:val="28"/>
        </w:rPr>
        <w:t>Глебовского</w:t>
      </w:r>
      <w:proofErr w:type="spellEnd"/>
      <w:r w:rsidRPr="00183D5B">
        <w:rPr>
          <w:sz w:val="28"/>
          <w:szCs w:val="28"/>
        </w:rPr>
        <w:t xml:space="preserve"> </w:t>
      </w:r>
      <w:proofErr w:type="gramStart"/>
      <w:r w:rsidRPr="00183D5B">
        <w:rPr>
          <w:sz w:val="28"/>
          <w:szCs w:val="28"/>
        </w:rPr>
        <w:t>сельского</w:t>
      </w:r>
      <w:proofErr w:type="gramEnd"/>
      <w:r w:rsidRPr="00183D5B">
        <w:rPr>
          <w:sz w:val="28"/>
          <w:szCs w:val="28"/>
        </w:rPr>
        <w:t xml:space="preserve"> </w:t>
      </w:r>
    </w:p>
    <w:p w:rsidR="00183D5B" w:rsidRPr="00183D5B" w:rsidRDefault="00183D5B" w:rsidP="00183D5B">
      <w:pPr>
        <w:pStyle w:val="aa"/>
        <w:jc w:val="both"/>
        <w:rPr>
          <w:sz w:val="28"/>
          <w:szCs w:val="28"/>
        </w:rPr>
      </w:pPr>
      <w:r w:rsidRPr="00183D5B">
        <w:rPr>
          <w:sz w:val="28"/>
          <w:szCs w:val="28"/>
        </w:rPr>
        <w:t xml:space="preserve">поселения </w:t>
      </w:r>
      <w:proofErr w:type="spellStart"/>
      <w:r w:rsidRPr="00183D5B">
        <w:rPr>
          <w:sz w:val="28"/>
          <w:szCs w:val="28"/>
        </w:rPr>
        <w:t>Кущевского</w:t>
      </w:r>
      <w:proofErr w:type="spellEnd"/>
      <w:r w:rsidRPr="00183D5B">
        <w:rPr>
          <w:sz w:val="28"/>
          <w:szCs w:val="28"/>
        </w:rPr>
        <w:t xml:space="preserve"> района                                                           А.В. Дудко</w:t>
      </w:r>
    </w:p>
    <w:p w:rsidR="00183D5B" w:rsidRPr="00183D5B" w:rsidRDefault="00183D5B" w:rsidP="00183D5B">
      <w:pPr>
        <w:pStyle w:val="aa"/>
        <w:jc w:val="both"/>
        <w:rPr>
          <w:sz w:val="28"/>
          <w:szCs w:val="28"/>
        </w:rPr>
      </w:pPr>
    </w:p>
    <w:p w:rsidR="00183D5B" w:rsidRPr="00183D5B" w:rsidRDefault="00183D5B" w:rsidP="00183D5B">
      <w:pPr>
        <w:pStyle w:val="aa"/>
        <w:jc w:val="both"/>
        <w:rPr>
          <w:b/>
          <w:sz w:val="28"/>
          <w:szCs w:val="28"/>
        </w:rPr>
      </w:pPr>
      <w:r w:rsidRPr="00183D5B">
        <w:rPr>
          <w:sz w:val="28"/>
          <w:szCs w:val="28"/>
        </w:rPr>
        <w:t>Проект подготовлен и внесен:</w:t>
      </w:r>
    </w:p>
    <w:p w:rsidR="00183D5B" w:rsidRPr="00183D5B" w:rsidRDefault="00183D5B" w:rsidP="00183D5B">
      <w:pPr>
        <w:pStyle w:val="aa"/>
        <w:jc w:val="both"/>
        <w:rPr>
          <w:sz w:val="28"/>
          <w:szCs w:val="28"/>
        </w:rPr>
      </w:pPr>
      <w:r w:rsidRPr="00183D5B">
        <w:rPr>
          <w:sz w:val="28"/>
          <w:szCs w:val="28"/>
        </w:rPr>
        <w:t>Начальник отдела по работе с населением</w:t>
      </w:r>
    </w:p>
    <w:p w:rsidR="00183D5B" w:rsidRPr="00183D5B" w:rsidRDefault="00183D5B" w:rsidP="00183D5B">
      <w:pPr>
        <w:pStyle w:val="aa"/>
        <w:jc w:val="both"/>
        <w:rPr>
          <w:sz w:val="28"/>
          <w:szCs w:val="28"/>
        </w:rPr>
      </w:pPr>
      <w:r w:rsidRPr="00183D5B">
        <w:rPr>
          <w:sz w:val="28"/>
          <w:szCs w:val="28"/>
        </w:rPr>
        <w:t xml:space="preserve">администрации </w:t>
      </w:r>
      <w:proofErr w:type="spellStart"/>
      <w:r w:rsidRPr="00183D5B">
        <w:rPr>
          <w:sz w:val="28"/>
          <w:szCs w:val="28"/>
        </w:rPr>
        <w:t>Глебовского</w:t>
      </w:r>
      <w:proofErr w:type="spellEnd"/>
      <w:r w:rsidRPr="00183D5B">
        <w:rPr>
          <w:sz w:val="28"/>
          <w:szCs w:val="28"/>
        </w:rPr>
        <w:t xml:space="preserve"> сельского поселения</w:t>
      </w:r>
      <w:r w:rsidRPr="00183D5B">
        <w:rPr>
          <w:sz w:val="28"/>
          <w:szCs w:val="28"/>
        </w:rPr>
        <w:tab/>
        <w:t xml:space="preserve">                    </w:t>
      </w:r>
      <w:proofErr w:type="spellStart"/>
      <w:r w:rsidRPr="00183D5B">
        <w:rPr>
          <w:sz w:val="28"/>
          <w:szCs w:val="28"/>
        </w:rPr>
        <w:t>Е.В.Гурушкина</w:t>
      </w:r>
      <w:proofErr w:type="spellEnd"/>
    </w:p>
    <w:p w:rsidR="00183D5B" w:rsidRPr="00183D5B" w:rsidRDefault="00183D5B" w:rsidP="00183D5B">
      <w:pPr>
        <w:pStyle w:val="aa"/>
        <w:jc w:val="both"/>
        <w:rPr>
          <w:b/>
          <w:sz w:val="28"/>
          <w:szCs w:val="28"/>
        </w:rPr>
      </w:pPr>
      <w:r w:rsidRPr="00183D5B">
        <w:rPr>
          <w:sz w:val="28"/>
          <w:szCs w:val="28"/>
        </w:rPr>
        <w:tab/>
      </w:r>
      <w:r w:rsidRPr="00183D5B">
        <w:rPr>
          <w:sz w:val="28"/>
          <w:szCs w:val="28"/>
        </w:rPr>
        <w:tab/>
      </w:r>
    </w:p>
    <w:p w:rsidR="00183D5B" w:rsidRPr="00183D5B" w:rsidRDefault="00183D5B" w:rsidP="00183D5B">
      <w:pPr>
        <w:pStyle w:val="aa"/>
        <w:jc w:val="both"/>
        <w:rPr>
          <w:b/>
          <w:sz w:val="28"/>
          <w:szCs w:val="28"/>
        </w:rPr>
      </w:pPr>
      <w:r w:rsidRPr="00183D5B">
        <w:rPr>
          <w:sz w:val="28"/>
          <w:szCs w:val="28"/>
        </w:rPr>
        <w:t>Проект согласован:</w:t>
      </w:r>
    </w:p>
    <w:p w:rsidR="00183D5B" w:rsidRPr="00183D5B" w:rsidRDefault="00183D5B" w:rsidP="00183D5B">
      <w:pPr>
        <w:pStyle w:val="aa"/>
        <w:jc w:val="both"/>
        <w:rPr>
          <w:sz w:val="28"/>
          <w:szCs w:val="28"/>
        </w:rPr>
      </w:pPr>
      <w:r w:rsidRPr="00183D5B">
        <w:rPr>
          <w:sz w:val="28"/>
          <w:szCs w:val="28"/>
        </w:rPr>
        <w:t>специалист отдела по работе с населением</w:t>
      </w:r>
      <w:r w:rsidRPr="00183D5B">
        <w:rPr>
          <w:sz w:val="28"/>
          <w:szCs w:val="28"/>
        </w:rPr>
        <w:tab/>
      </w:r>
      <w:r w:rsidRPr="00183D5B">
        <w:rPr>
          <w:sz w:val="28"/>
          <w:szCs w:val="28"/>
        </w:rPr>
        <w:tab/>
      </w:r>
    </w:p>
    <w:p w:rsidR="00183D5B" w:rsidRPr="00183D5B" w:rsidRDefault="00183D5B" w:rsidP="00183D5B">
      <w:pPr>
        <w:pStyle w:val="aa"/>
        <w:jc w:val="both"/>
        <w:rPr>
          <w:sz w:val="28"/>
          <w:szCs w:val="28"/>
        </w:rPr>
      </w:pPr>
      <w:r w:rsidRPr="00183D5B">
        <w:rPr>
          <w:sz w:val="28"/>
          <w:szCs w:val="28"/>
        </w:rPr>
        <w:t xml:space="preserve">администрации </w:t>
      </w:r>
      <w:proofErr w:type="spellStart"/>
      <w:r w:rsidRPr="00183D5B">
        <w:rPr>
          <w:sz w:val="28"/>
          <w:szCs w:val="28"/>
        </w:rPr>
        <w:t>Глебовского</w:t>
      </w:r>
      <w:proofErr w:type="spellEnd"/>
      <w:r w:rsidRPr="00183D5B">
        <w:rPr>
          <w:sz w:val="28"/>
          <w:szCs w:val="28"/>
        </w:rPr>
        <w:t xml:space="preserve"> сельского поселения                         </w:t>
      </w:r>
      <w:proofErr w:type="spellStart"/>
      <w:r w:rsidRPr="00183D5B">
        <w:rPr>
          <w:sz w:val="28"/>
          <w:szCs w:val="28"/>
        </w:rPr>
        <w:t>С.М.Костюрина</w:t>
      </w:r>
      <w:proofErr w:type="spellEnd"/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D5B" w:rsidRDefault="00183D5B" w:rsidP="00CB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7C1EFF" w:rsidRDefault="00CB2E4C" w:rsidP="00CB2E4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564" w:rsidRDefault="00C21564" w:rsidP="00CB2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E4C" w:rsidRPr="00A56DF7" w:rsidRDefault="00331BFF" w:rsidP="00183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="00CB2E4C" w:rsidRPr="00A56DF7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CB2E4C" w:rsidRPr="00A56DF7" w:rsidRDefault="00CB2E4C" w:rsidP="00183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6DF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B2E4C" w:rsidRPr="00A56DF7" w:rsidRDefault="001C660E" w:rsidP="00183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Глебовского</w:t>
      </w:r>
      <w:r w:rsidR="00CB2E4C" w:rsidRPr="00A56DF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="00CB2E4C" w:rsidRPr="00A56DF7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31BFF" w:rsidRPr="00A56DF7" w:rsidRDefault="00331BFF" w:rsidP="00183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6DF7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Pr="00A56DF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CB2E4C" w:rsidRPr="00A56DF7" w:rsidRDefault="00331BFF" w:rsidP="00183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Pr="00A56DF7">
        <w:rPr>
          <w:rFonts w:ascii="Times New Roman" w:eastAsia="Times New Roman" w:hAnsi="Times New Roman" w:cs="Times New Roman"/>
          <w:sz w:val="28"/>
          <w:szCs w:val="28"/>
        </w:rPr>
        <w:tab/>
      </w:r>
      <w:r w:rsidR="001C660E">
        <w:rPr>
          <w:rFonts w:ascii="Times New Roman" w:eastAsia="Times New Roman" w:hAnsi="Times New Roman" w:cs="Times New Roman"/>
          <w:sz w:val="28"/>
          <w:szCs w:val="28"/>
        </w:rPr>
        <w:t xml:space="preserve">        от 15.05.2019 № 4</w:t>
      </w:r>
      <w:r w:rsidR="00537179" w:rsidRPr="00A56DF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B2E4C" w:rsidRPr="00A56DF7" w:rsidRDefault="00CB2E4C" w:rsidP="00A56D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A77BE" w:rsidRPr="00A56DF7" w:rsidRDefault="006A77BE" w:rsidP="00A56D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DF7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</w:p>
    <w:p w:rsidR="006A77BE" w:rsidRDefault="006A77BE" w:rsidP="00A56D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DF7">
        <w:rPr>
          <w:rFonts w:ascii="Times New Roman" w:eastAsia="Times New Roman" w:hAnsi="Times New Roman" w:cs="Times New Roman"/>
          <w:b/>
          <w:sz w:val="28"/>
          <w:szCs w:val="28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CD6959" w:rsidRPr="00A56DF7" w:rsidRDefault="00CD6959" w:rsidP="00A56D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района, предоставляющей бюджетные инвестиции, осуществляющей полномочия собственника, администрацией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 в отношении акций (долей) в уставном (складочном) капитале юридического лица, получающей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исполнительно-распорядительному органу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  как получателю средств местного бюджета.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 3. Договором о предоставлении бюджетных инвестиций предусматриваются: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</w:t>
      </w:r>
      <w:r w:rsidRPr="00CD6959">
        <w:rPr>
          <w:rFonts w:ascii="Times New Roman" w:hAnsi="Times New Roman" w:cs="Times New Roman"/>
          <w:sz w:val="28"/>
          <w:szCs w:val="28"/>
        </w:rPr>
        <w:lastRenderedPageBreak/>
        <w:t>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 в случаях, установленных бюджетным законодательством Российской Федерации;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(нормативными правовыми актами) местной администрации;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</w:t>
      </w:r>
      <w:r w:rsidRPr="00CD6959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л) право исполнительно-распорядительного органа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>) порядок возврата юридическим лицом, получающим бюджетные инвестиции, полученных сре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обеспечения (с распределением указанных объемов по годам);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местной администрацией порядке о предоставлении бюджетных инвестиций;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 xml:space="preserve">в установленных администрацией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 случаях </w:t>
      </w:r>
      <w:r w:rsidRPr="00CD6959">
        <w:rPr>
          <w:rFonts w:ascii="Times New Roman" w:hAnsi="Times New Roman" w:cs="Times New Roman"/>
          <w:sz w:val="28"/>
          <w:szCs w:val="28"/>
        </w:rPr>
        <w:lastRenderedPageBreak/>
        <w:t>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строительства);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69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федерального бюджета, в том числе в соответствии с иными договорами о предоставлении бюджетных инвестиций.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 НПА о порядке предоставления бюджетных инвестиций.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а) наименования дочерних обществ;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(нормативным правовым актом) администрации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 не определены иные сроки или порядок определения указанных сроков;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lastRenderedPageBreak/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>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>оверок, предусмотренных подпунктом "л" пункта 3 настоящего документа;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</w:t>
      </w:r>
      <w:hyperlink r:id="rId7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4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proofErr w:type="gramEnd"/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 настоящего документа. Положения указанного договора должны соответствовать аналогичным положениям принятого в установленном порядке решения (нормативного правового акта) администрации  о предоставлении бюджетных инвестиций.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 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б) показатели результативности и их значения;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>) сроки перечисления взноса (вклада);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lastRenderedPageBreak/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>определяющем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и) положения о запрете: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инвестиций и определенных администрацией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на осуществление операций, определенных нормативными правовыми актами администрации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л) право юридического лица, получающего бюджетные инвестиции, и исполнительно-распорядительного органа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района, предоставляющего бюджетные инвестиции, на проведение </w:t>
      </w:r>
      <w:r w:rsidRPr="00CD6959">
        <w:rPr>
          <w:rFonts w:ascii="Times New Roman" w:hAnsi="Times New Roman" w:cs="Times New Roman"/>
          <w:sz w:val="28"/>
          <w:szCs w:val="28"/>
        </w:rPr>
        <w:lastRenderedPageBreak/>
        <w:t>проверок соблюдения дочерним обществом целей и условий предоставления взноса (вклада);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>учае установления факта несоблюдения им целей и условий, определенных указанным договором.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7(1).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 помимо положений, указанных в </w:t>
      </w:r>
      <w:hyperlink r:id="rId11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 настоящего документа, также предусматриваются: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(с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распределением указанных объемов по годам);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администрацией сельского поселения порядке решением (нормативным правовым актом) администрации сельского поселения о предоставлении бюджетных инвестиций;</w:t>
      </w:r>
      <w:proofErr w:type="gramEnd"/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в) обязанность дочернего общества обеспечить выполнение работ, указанных в </w:t>
      </w:r>
      <w:hyperlink r:id="rId12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"в" пункта 4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 настоящего документа,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</w:t>
      </w:r>
      <w:hyperlink r:id="rId13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"ж" пункта 7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59">
        <w:rPr>
          <w:rFonts w:ascii="Times New Roman" w:hAnsi="Times New Roman" w:cs="Times New Roman"/>
          <w:sz w:val="28"/>
          <w:szCs w:val="28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</w:t>
      </w:r>
      <w:hyperlink r:id="rId14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"ж" пункта 7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 настоящего документа,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проектов по строительству, реконструкции и техническому перевооружению объектов капитального строительства).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5" w:history="1">
        <w:r w:rsidRPr="00CD69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"г" пункта 7(1)</w:t>
        </w:r>
      </w:hyperlink>
      <w:r w:rsidRPr="00CD6959">
        <w:rPr>
          <w:rFonts w:ascii="Times New Roman" w:hAnsi="Times New Roman" w:cs="Times New Roman"/>
          <w:sz w:val="28"/>
          <w:szCs w:val="28"/>
        </w:rPr>
        <w:t xml:space="preserve"> требований, утвержденных настоящим постановлением, не применяются к отношениям, связанным с осуществлением закупок, </w:t>
      </w:r>
      <w:proofErr w:type="gramStart"/>
      <w:r w:rsidRPr="00CD6959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CD6959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</w:t>
      </w:r>
      <w:r w:rsidRPr="00CD6959">
        <w:rPr>
          <w:rFonts w:ascii="Times New Roman" w:hAnsi="Times New Roman" w:cs="Times New Roman"/>
          <w:sz w:val="28"/>
          <w:szCs w:val="28"/>
        </w:rPr>
        <w:lastRenderedPageBreak/>
        <w:t>участие в которых направлены до 1 января 2018 г., а также к гражданско-правовым договорам, заключенным до 1 января 2018 г.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 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959">
        <w:rPr>
          <w:rFonts w:ascii="Times New Roman" w:hAnsi="Times New Roman" w:cs="Times New Roman"/>
          <w:sz w:val="28"/>
          <w:szCs w:val="28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 </w:t>
      </w:r>
      <w:proofErr w:type="spellStart"/>
      <w:r w:rsidR="001C660E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695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D69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6959" w:rsidRPr="00CD6959" w:rsidRDefault="00CD6959" w:rsidP="00CD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DF7" w:rsidRPr="00CD6959" w:rsidRDefault="00A56DF7" w:rsidP="00233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BE" w:rsidRPr="00CD6959" w:rsidRDefault="006A77BE" w:rsidP="008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564" w:rsidRPr="00CD6959" w:rsidRDefault="00366911" w:rsidP="008E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95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1C660E">
        <w:rPr>
          <w:rFonts w:ascii="Times New Roman" w:eastAsia="Times New Roman" w:hAnsi="Times New Roman" w:cs="Times New Roman"/>
          <w:sz w:val="28"/>
          <w:szCs w:val="28"/>
        </w:rPr>
        <w:t>Глебовского</w:t>
      </w:r>
      <w:proofErr w:type="spellEnd"/>
      <w:r w:rsidR="000A3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695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D6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2E5" w:rsidRDefault="000A30AD" w:rsidP="00B4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9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6911" w:rsidRPr="00CD6959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48C" w:rsidRPr="00CD6959">
        <w:rPr>
          <w:rFonts w:ascii="Times New Roman" w:eastAsia="Times New Roman" w:hAnsi="Times New Roman" w:cs="Times New Roman"/>
          <w:sz w:val="28"/>
          <w:szCs w:val="28"/>
        </w:rPr>
        <w:t>Кущевского</w:t>
      </w:r>
      <w:proofErr w:type="spellEnd"/>
      <w:r w:rsidR="00366911" w:rsidRPr="00CD695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C6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C660E">
        <w:rPr>
          <w:rFonts w:ascii="Times New Roman" w:eastAsia="Times New Roman" w:hAnsi="Times New Roman" w:cs="Times New Roman"/>
          <w:sz w:val="28"/>
          <w:szCs w:val="28"/>
        </w:rPr>
        <w:t>А.В.Дудко</w:t>
      </w:r>
    </w:p>
    <w:sectPr w:rsidR="00B452E5" w:rsidSect="00183D5B">
      <w:headerReference w:type="default" r:id="rId16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20" w:rsidRDefault="002F6B20" w:rsidP="00F036CA">
      <w:pPr>
        <w:spacing w:after="0" w:line="240" w:lineRule="auto"/>
      </w:pPr>
      <w:r>
        <w:separator/>
      </w:r>
    </w:p>
  </w:endnote>
  <w:endnote w:type="continuationSeparator" w:id="1">
    <w:p w:rsidR="002F6B20" w:rsidRDefault="002F6B20" w:rsidP="00F0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20" w:rsidRDefault="002F6B20" w:rsidP="00F036CA">
      <w:pPr>
        <w:spacing w:after="0" w:line="240" w:lineRule="auto"/>
      </w:pPr>
      <w:r>
        <w:separator/>
      </w:r>
    </w:p>
  </w:footnote>
  <w:footnote w:type="continuationSeparator" w:id="1">
    <w:p w:rsidR="002F6B20" w:rsidRDefault="002F6B20" w:rsidP="00F0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958766"/>
      <w:docPartObj>
        <w:docPartGallery w:val="Page Numbers (Top of Page)"/>
        <w:docPartUnique/>
      </w:docPartObj>
    </w:sdtPr>
    <w:sdtContent>
      <w:p w:rsidR="00F036CA" w:rsidRDefault="009E5BDE">
        <w:pPr>
          <w:pStyle w:val="a6"/>
          <w:jc w:val="center"/>
        </w:pPr>
        <w:r>
          <w:fldChar w:fldCharType="begin"/>
        </w:r>
        <w:r w:rsidR="000B7177">
          <w:instrText xml:space="preserve"> PAGE   \* MERGEFORMAT </w:instrText>
        </w:r>
        <w:r>
          <w:fldChar w:fldCharType="separate"/>
        </w:r>
        <w:r w:rsidR="000A30A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36CA" w:rsidRDefault="00F036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A34"/>
    <w:rsid w:val="00025A34"/>
    <w:rsid w:val="00066B64"/>
    <w:rsid w:val="00082799"/>
    <w:rsid w:val="000A30AD"/>
    <w:rsid w:val="000B7177"/>
    <w:rsid w:val="00140004"/>
    <w:rsid w:val="00183D5B"/>
    <w:rsid w:val="001C660E"/>
    <w:rsid w:val="00214814"/>
    <w:rsid w:val="00214DFF"/>
    <w:rsid w:val="00233FF8"/>
    <w:rsid w:val="002617B4"/>
    <w:rsid w:val="00272A90"/>
    <w:rsid w:val="002826D2"/>
    <w:rsid w:val="00290767"/>
    <w:rsid w:val="00292B80"/>
    <w:rsid w:val="002A6305"/>
    <w:rsid w:val="002E088D"/>
    <w:rsid w:val="002E2158"/>
    <w:rsid w:val="002E2FCA"/>
    <w:rsid w:val="002F6B20"/>
    <w:rsid w:val="002F78AD"/>
    <w:rsid w:val="00331BFF"/>
    <w:rsid w:val="00360A18"/>
    <w:rsid w:val="00366911"/>
    <w:rsid w:val="003A3BE6"/>
    <w:rsid w:val="00405BB2"/>
    <w:rsid w:val="00426AF0"/>
    <w:rsid w:val="00472AE2"/>
    <w:rsid w:val="00484E56"/>
    <w:rsid w:val="004D4E57"/>
    <w:rsid w:val="004F763D"/>
    <w:rsid w:val="00537179"/>
    <w:rsid w:val="00586A78"/>
    <w:rsid w:val="00625378"/>
    <w:rsid w:val="00680F85"/>
    <w:rsid w:val="00697015"/>
    <w:rsid w:val="006A6F85"/>
    <w:rsid w:val="006A77BE"/>
    <w:rsid w:val="006E4206"/>
    <w:rsid w:val="00721104"/>
    <w:rsid w:val="00741067"/>
    <w:rsid w:val="00790001"/>
    <w:rsid w:val="0079327D"/>
    <w:rsid w:val="007C1EFF"/>
    <w:rsid w:val="0086348F"/>
    <w:rsid w:val="008E1B0B"/>
    <w:rsid w:val="00930F5F"/>
    <w:rsid w:val="00933508"/>
    <w:rsid w:val="009B3910"/>
    <w:rsid w:val="009E5BDE"/>
    <w:rsid w:val="00A330C6"/>
    <w:rsid w:val="00A41164"/>
    <w:rsid w:val="00A56DF7"/>
    <w:rsid w:val="00A93B31"/>
    <w:rsid w:val="00AC6138"/>
    <w:rsid w:val="00AE6771"/>
    <w:rsid w:val="00B33DEE"/>
    <w:rsid w:val="00B452E5"/>
    <w:rsid w:val="00C21564"/>
    <w:rsid w:val="00C8390C"/>
    <w:rsid w:val="00CA38D4"/>
    <w:rsid w:val="00CB2E4C"/>
    <w:rsid w:val="00CD6959"/>
    <w:rsid w:val="00DA02AA"/>
    <w:rsid w:val="00DB66D8"/>
    <w:rsid w:val="00DE1344"/>
    <w:rsid w:val="00E11BA7"/>
    <w:rsid w:val="00E16ABB"/>
    <w:rsid w:val="00E341F9"/>
    <w:rsid w:val="00F036CA"/>
    <w:rsid w:val="00F0448C"/>
    <w:rsid w:val="00F56AA4"/>
    <w:rsid w:val="00F95D73"/>
    <w:rsid w:val="00FB5F71"/>
    <w:rsid w:val="00FE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E"/>
  </w:style>
  <w:style w:type="paragraph" w:styleId="2">
    <w:name w:val="heading 2"/>
    <w:basedOn w:val="a"/>
    <w:link w:val="20"/>
    <w:uiPriority w:val="9"/>
    <w:qFormat/>
    <w:rsid w:val="0002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5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CA"/>
  </w:style>
  <w:style w:type="paragraph" w:styleId="a8">
    <w:name w:val="footer"/>
    <w:basedOn w:val="a"/>
    <w:link w:val="a9"/>
    <w:uiPriority w:val="99"/>
    <w:semiHidden/>
    <w:unhideWhenUsed/>
    <w:rsid w:val="00F0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6CA"/>
  </w:style>
  <w:style w:type="paragraph" w:customStyle="1" w:styleId="21">
    <w:name w:val="Средняя сетка 21"/>
    <w:qFormat/>
    <w:rsid w:val="001C66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 Spacing"/>
    <w:link w:val="ab"/>
    <w:uiPriority w:val="1"/>
    <w:qFormat/>
    <w:rsid w:val="0018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183D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5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5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CA"/>
  </w:style>
  <w:style w:type="paragraph" w:styleId="a8">
    <w:name w:val="footer"/>
    <w:basedOn w:val="a"/>
    <w:link w:val="a9"/>
    <w:uiPriority w:val="99"/>
    <w:semiHidden/>
    <w:unhideWhenUsed/>
    <w:rsid w:val="00F0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6CA"/>
  </w:style>
  <w:style w:type="paragraph" w:customStyle="1" w:styleId="21">
    <w:name w:val="Средняя сетка 21"/>
    <w:qFormat/>
    <w:rsid w:val="001C66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4F0DABF63817AE76A212BF73F9452252D11C3FD0E4EA1460E4C10B4D944327507AEB3D2B119DCFC4D621812EEB3C6289108E33C669744DCT4H" TargetMode="External"/><Relationship Id="rId13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4F0DABF63817AE76A212BF73F9452252D11C3FD0E4EA1460E4C10B4D944327507AEB3D2B119DEFF4D621812EEB3C6289108E33C669744DCT4H" TargetMode="External"/><Relationship Id="rId12" Type="http://schemas.openxmlformats.org/officeDocument/2006/relationships/hyperlink" Target="consultantplus://offline/ref=A0A4DB3312387507DC76745AA8879686A02AF991B57626B7191A25D134B5A5A5D9C4E3D037C0ACFF561759821F3865FB7B0D7FBCD4FB11DD27V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0A4DB3312387507DC76745AA8879686A02AF991B57626B7191A25D134B5A5A5D9C4E3D037C0ACF8561759821F3865FB7B0D7FBCD4FB11DD27V6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3B94361EB55D5D3E62FF337B8247BB8B9E77F02B27C2E24C88CCD966A4B6CC46A8FE7FEC0A52B74F709584E46BCA49A6E6AABEtCW5H" TargetMode="External"/><Relationship Id="rId10" Type="http://schemas.openxmlformats.org/officeDocument/2006/relationships/hyperlink" Target="consultantplus://offline/ref=C9C4F0DABF63817AE76A212BF73F9452252D11C3FD0E4EA1460E4C10B4D944327507AEB3D2B119DCF14D621812EEB3C6289108E33C669744DCT4H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C4F0DABF63817AE76A212BF73F9452252D11C3FD0E4EA1460E4C10B4D944327507AEB3D2B119DCFE4D621812EEB3C6289108E33C669744DCT4H" TargetMode="External"/><Relationship Id="rId14" Type="http://schemas.openxmlformats.org/officeDocument/2006/relationships/hyperlink" Target="consultantplus://offline/ref=A0A4DB3312387507DC76745AA8879686A02AF991B57626B7191A25D134B5A5A5D9C4E3D037C0ACF9531759821F3865FB7B0D7FBCD4FB11DD27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19</cp:revision>
  <cp:lastPrinted>2019-05-24T07:32:00Z</cp:lastPrinted>
  <dcterms:created xsi:type="dcterms:W3CDTF">2019-04-30T07:26:00Z</dcterms:created>
  <dcterms:modified xsi:type="dcterms:W3CDTF">2019-05-24T07:33:00Z</dcterms:modified>
</cp:coreProperties>
</file>