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5" w:tblpY="-245"/>
        <w:tblW w:w="15948" w:type="dxa"/>
        <w:tblLayout w:type="fixed"/>
        <w:tblLook w:val="00A0" w:firstRow="1" w:lastRow="0" w:firstColumn="1" w:lastColumn="0" w:noHBand="0" w:noVBand="0"/>
      </w:tblPr>
      <w:tblGrid>
        <w:gridCol w:w="10368"/>
        <w:gridCol w:w="5580"/>
      </w:tblGrid>
      <w:tr w:rsidR="00F53BF2" w:rsidRPr="00E13E06" w:rsidTr="00370D0C">
        <w:trPr>
          <w:trHeight w:val="3416"/>
        </w:trPr>
        <w:tc>
          <w:tcPr>
            <w:tcW w:w="10368" w:type="dxa"/>
          </w:tcPr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E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АДМИНИСТРАТИВНЫЙ РЕГЛАМЕНТ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"Выдача градостроительных планов земельных участков"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(наименование муниципальной услуги)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1. ОБЩИЕ ПОЛОЖЕНИЯ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1.1. Административный регламент предоставления муниципальной услуги "Выдача градостроительных планов земельных участков"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1.2. В настоящем Административном регламенте используются следующие термины и понятия: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муниципального образования Оренбургский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район;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>, письменной или электронной форме;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градостроительный план – градостроительный документ, разрабатываемый применительно 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объект капитального строительства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1.3. Право на получение муниципальной услуги имеют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- заявитель).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>2. СТАНДАРТ ПРЕДОСТАВЛЕНИЯ МУНИЦИПАЛЬНОЙ УСЛУГИ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2.1. Наименование муниципальной услуги - "Выдач градостроительных планов земельных участков".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2.2. Муниципальную услугу предоставляет  специалист по земельным отношениям администрации МО Андреевский сельсовет (далее – организация). Место нахождения организации: 461070, Оренбургская область, Курманаевский район,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>, 19. Организация осуществляет прием заявителей в соответствии со следующим графиком: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Понедельник - 09.00 - 18.00.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Вторник - 09.00 - 18.00.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Среда - 09.00 - 18.00.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Четверг - 09.00 - 18.00.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Пятница - 09.00 - 18.00.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Перерыв - 13.00 - 14.00.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Справочные телефоны, факс организации: (35341) 3-01-17, (353241) 3-01-39. Адрес электронной почты: a</w:t>
            </w:r>
            <w:r w:rsidRPr="00E13E0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3E06">
              <w:rPr>
                <w:rFonts w:ascii="Times New Roman" w:hAnsi="Times New Roman"/>
                <w:sz w:val="24"/>
                <w:szCs w:val="24"/>
              </w:rPr>
              <w:t>d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  <w:lang w:val="en-US"/>
              </w:rPr>
              <w:t>reevsk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>.2011@mail.ru.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2.3. Результатом предоставления муниципальной услуги является выдача градостроительного плана земельного участка.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2.4.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 Конституцией Российской Федерации; Федеральным законом от 27.07.2010 N 210-ФЗ "Об организации предоставления государственных и муниципальных услуг"; Федеральным законом от 29.12.2004 N 190-ФЗ "Градостроительный кодекс Российской Федерации" (с изменениями и дополнениями); Федеральным законом от 29.12.2004 N 191-ФЗ "Градостроительный кодекс Российской Федерации" (с изменениями и дополнениями);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Федеральным законом от 25.10.2001 N 136-ФЗ "Земельный кодекс Российской Федерации" (с изменениями и дополнениями); Федеральным законом от 25.10.2001 N 137-ФЗ "О введении в действие Земельного кодекса Российской Федерации" (с изменениями и дополнениями); Федеральным законом от 06.10.2003 N 131-ФЗ "Об общих принципах организации местного самоуправления в Российской Федерации" (с изменениями и дополнениями);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02.05.2006 N 59-ФЗ "О порядке рассмотрения обращений граждан Российской Федерации"; Постановлением Правительства РФ от 29.12.2005 N840 "О форме градостроительного плана земельного участка"; Приказом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 и другими правовыми актами.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2.6. Перечень требуемых от заявителя документов, необходимых для предоставления муниципальной услуги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2.6.1. правоустанавливающий документы на земельный участок: договор купли-продажи, договор аренды, свидетельство о государственной регистрации права;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правоустанавливающие документы на объекты недвижимости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купли-продажи;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технические паспорта на объекты капитального строительства, расположенные на земельном участке;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- 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13E06">
                <w:rPr>
                  <w:rFonts w:ascii="Times New Roman" w:hAnsi="Times New Roman"/>
                  <w:sz w:val="24"/>
                  <w:szCs w:val="24"/>
                </w:rPr>
                <w:t>1 га</w:t>
              </w:r>
            </w:smartTag>
            <w:r w:rsidRPr="00E13E06">
              <w:rPr>
                <w:rFonts w:ascii="Times New Roman" w:hAnsi="Times New Roman"/>
                <w:sz w:val="24"/>
                <w:szCs w:val="24"/>
              </w:rPr>
              <w:t xml:space="preserve">, в М 1:2000 на площадь участка от 1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E13E06">
                <w:rPr>
                  <w:rFonts w:ascii="Times New Roman" w:hAnsi="Times New Roman"/>
                  <w:sz w:val="24"/>
                  <w:szCs w:val="24"/>
                </w:rPr>
                <w:t>10 га</w:t>
              </w:r>
            </w:smartTag>
            <w:r w:rsidRPr="00E13E06">
              <w:rPr>
                <w:rFonts w:ascii="Times New Roman" w:hAnsi="Times New Roman"/>
                <w:sz w:val="24"/>
                <w:szCs w:val="24"/>
              </w:rPr>
              <w:t>., либо участок линейного объекта, в М 1:5000 при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площади свыше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E13E06">
                <w:rPr>
                  <w:rFonts w:ascii="Times New Roman" w:hAnsi="Times New Roman"/>
                  <w:sz w:val="24"/>
                  <w:szCs w:val="24"/>
                </w:rPr>
                <w:t>10 га</w:t>
              </w:r>
            </w:smartTag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- чертеж градостроительного плана, подготовленный в порядке, установленном частью II </w:t>
            </w: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>«Инструкции о порядке заполнения формы градостроительного плана земельного участка», утвержденной приказом Министерства регионального развития Российской Федерации от 11 августа 2006 года № 93;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планировочная схема размещения объектов (на участках для ИЖС);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-эскизный прое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>оительства (реконструкции) объекта капитального строительства (кроме участков для ИЖС) содержащий: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ситуационный план размещения объектов;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эскиз объёмно-планировочного решения объектов;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-расчёт необходимого количества мест для парковки автотранспорта;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расчёт инсоляции (при необходимости).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2.6.2. документы, полученные через единую систему межведомственного электронного взаимодействия (без участия заявителя):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-кадастровый паспорт земельного участка.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2.6.3.заявитель вправе представить документы, указанные в пункте 2.6.2., по собственной инициативе.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2.7. Перечень оснований для отказа в приеме документов, необходимых для предоставления муниципальной услуги: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предоставление заявителем документов, содержащих ошибки или противоречивые сведения;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заявление подано лицом, не уполномоченным совершать такого рода действия.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2.8. Перечень оснований для отказа в предоставлении муниципальной услуги: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письменное заявление гражданина о возврате документов, представленных им для получения муниципальной услуги;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отсутствие документов, предусмотренных пунктом 2.6 настоящего Административного регламента;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обращение за получением муниципальной услуги ненадлежащего лица;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представителем не представлена оформленная в установленном порядке доверенность на осуществление действий.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2.9. Муниципальная услуга предоставляется на бесплатной основе. При предоставлении муниципальной услуги на платной основе указывается размер платы, перечень льготных категорий заявителей (при наличии таковых), а также способы взимания платы.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2.10.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2.11. Срок регистрации запроса заявителя о предоставлении муниципальной услуги - 15 минут.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 Требования к местам предоставления муниципальной услуги: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2.12.1. 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</w:t>
            </w: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наименованием помещения (зал ожидания, приема/выдачи документов и т.д.).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2.12.2. При возможности около здания организуются парковочные места для автотранспорта. Доступ заявителей к парковочным местам является бесплатным.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2.12.3. Центральный вход в здание, где располагается организация, должен быть оборудован информационной табличкой (вывеской), содержащей информацию о наименовании, месте нахождения.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 (туалет), в том числе приспособленные для инвалидов.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2.12.5. Места информирования, предназначенные для ознакомления заявителей с информационными материалами, оборудуются: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информационными стендами, на которых размещается визуальная и текстовая информация;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- стульями и столами для оформления документов. К информационным стендам должна быть обеспечена возможность свободного доступа граждан.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На информационных стендах, а также на официальных сайтах в сети Интернет размещается следующая обязательная информация: номера телефонов, факсов, адреса официальных сайтов, электронной почты органов, предоставляющих муниципальную услугу; режим работы органов, предоставляющих муниципальную услугу; графики личного приема граждан уполномоченными должностными лицами; номера кабинетов, где осуществляются прием письменных обращений граждан и устное информирование граждан;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фамилии, имена, отчества и должности лиц, осуществляющих прием письменных обращений граждан и устное информирование граждан; настоящий Административный регламент.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2.12.7. Для обслуживания людей с ограниченными возможностями помещения оборудуются кнопки вызова. Требования к местам предоставления услуг в сфере образования, здравоохранения, культуры должны соответствовать существующим ГОСТам и СНиПам.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2.13. Показатели доступности и качества муниципальных услуг: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2.14.1. Информирование заявителей о порядке предоставления муниципальной услуги осуществляется в виде: индивидуального информирования; публичного информирования. Информирование проводится в форме: устного информирования; письменного информирования.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2.14.3. Заявитель имеет право на получение сведений о стадии прохождения его обращения.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категории заявителей, имеющих право на получение муниципальной услуги;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перечень документов, требуемых от заявителя, необходимых для получения муниципальной услуги;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- требования к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заверению документов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и сведений;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-входящие номера, под которыми зарегистрированы в системе делопроизводства заявления и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прилагающиеся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к ним материалы;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необходимость представления дополнительных документов и сведений. Информирование по иным вопросам осуществляется только на основании письменного обращения.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 При индивидуальном письменном информировании ответ направляется заявителю в течение 30 дней со дня регистрации обращения.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3. СОСТАВ, ПОСЛЕДОВАТЕЛЬНОСТЬ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И СРОКИ ВЫПОЛНЕНИЯ АДМИНИСТРАТИВНЫХ ПРОЦЕДУР,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ТРЕБОВАНИЯ К ПОРЯДКУ ИХ ВЫПОЛНЕНИЯ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3.1. Блок-схема предоставления муниципальной услуги приведена в приложении N 1 к настоящему Административному регламенту.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3.2. Предоставление муниципальной услуги включает в себя следующие административные процедуры: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приём документов;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рассмотрение заявления;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оформление градостроительного плана земельного участка;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- выдача градостроительного плана земельного участка.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3.3. Последовательность и сроки выполнения административных процедур, а также требования к порядку их выполнения.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4. ФОРМЫ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ИСПОЛНЕНИЕМ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4.1. Текущий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организации, ответственными за организацию работы по предоставлению муниципальной услуги. Текущий контроль осуществляется путем </w:t>
            </w: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4.2. Проведение текущего контроля должно осуществляться не реже двух раз в год. Текущий контроль может быть плановым (осуществляться на основании квартальных и годовых планов работы организации)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4.3. Перечень должностных лиц, уполномоченных осуществлять текущий контроль, устанавливается распоряжением главы МО Андреевский сельсовет Курманаевского района Оренбургской области.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5. ДОСУДЕБНЫЙ (ВНЕСУДЕБНЫЙ) ПОРЯДОК ОБЖАЛОВАНИЯ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РЕШЕНИЙ И ДЕЙСТВИЙ (БЕЗДЕЙСТВИЯ) ОРГАНА,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ПРЕДОСТАВЛЯЮЩЕГО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МУНИЦИПАЛЬНУЮУСЛУГУ, А ТАКЖЕ ДОЛЖНОСТНЫХ ЛИЦ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И МУНИЦИПАЛЬНЫХ СЛУЖАЩИХ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главе МО Андреевский сельсовет, Курманаевский район,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>ндреевка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, 19, 3-01-39; специалисту (помощнику) главы МО Андреевский сельсовет, Курманаевский район,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с.Андреевка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E06">
              <w:rPr>
                <w:rFonts w:ascii="Times New Roman" w:hAnsi="Times New Roman"/>
                <w:sz w:val="24"/>
                <w:szCs w:val="24"/>
              </w:rPr>
              <w:t>ул.Ленинская</w:t>
            </w:r>
            <w:proofErr w:type="spellEnd"/>
            <w:r w:rsidRPr="00E13E06">
              <w:rPr>
                <w:rFonts w:ascii="Times New Roman" w:hAnsi="Times New Roman"/>
                <w:sz w:val="24"/>
                <w:szCs w:val="24"/>
              </w:rPr>
              <w:t>, 19, 3-01-17; досудебном или судебном порядке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5.2. Основанием для начала досудебного (внесудебного) обжалования является поступление жалобы (обращения) в организацию, поступившей лично от заявителя (уполномоченного лица) или направленной в виде почтового отправления.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незаконно возложена какая-либо обязанность). 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 В подтверждение доводов к жалобе могут прилагаться документы и материалы либо их копии.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5.4. Срок рассмотрения жалобы не должен превышать 30 дней с момента ее регистрации.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      </w:r>
            <w:proofErr w:type="gramEnd"/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Письменный ответ, содержащий результаты рассмотрения жалобы, направляется заявителю.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06">
              <w:rPr>
                <w:rFonts w:ascii="Times New Roman" w:hAnsi="Times New Roman"/>
                <w:sz w:val="24"/>
                <w:szCs w:val="24"/>
              </w:rPr>
              <w:t xml:space="preserve"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 </w:t>
            </w:r>
            <w:proofErr w:type="gramStart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Если в жалобе содержится вопрос, на который </w:t>
            </w:r>
            <w:r w:rsidRPr="00E13E06">
              <w:rPr>
                <w:rFonts w:ascii="Times New Roman" w:hAnsi="Times New Roman"/>
                <w:sz w:val="24"/>
                <w:szCs w:val="24"/>
              </w:rPr>
              <w:lastRenderedPageBreak/>
              <w:t>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      </w:r>
            <w:proofErr w:type="gramEnd"/>
            <w:r w:rsidRPr="00E13E06">
              <w:rPr>
                <w:rFonts w:ascii="Times New Roman" w:hAnsi="Times New Roman"/>
                <w:sz w:val="24"/>
                <w:szCs w:val="24"/>
              </w:rPr>
              <w:t xml:space="preserve"> О данном решении заявитель, направивший жалобу, уведомляется в письменном виде.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E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 № 1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E06">
              <w:rPr>
                <w:rFonts w:ascii="Times New Roman" w:hAnsi="Times New Roman"/>
                <w:b/>
                <w:bCs/>
                <w:sz w:val="24"/>
                <w:szCs w:val="24"/>
              </w:rPr>
              <w:t>Блок-схема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E06">
              <w:rPr>
                <w:rFonts w:ascii="Times New Roman" w:hAnsi="Times New Roman"/>
                <w:b/>
                <w:bCs/>
                <w:sz w:val="24"/>
                <w:szCs w:val="24"/>
              </w:rPr>
              <w:t>последовательности действий по выдачи градостроительных планов земельных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E06">
              <w:rPr>
                <w:rFonts w:ascii="Times New Roman" w:hAnsi="Times New Roman"/>
                <w:b/>
                <w:bCs/>
                <w:sz w:val="24"/>
                <w:szCs w:val="24"/>
              </w:rPr>
              <w:t>участков</w:t>
            </w: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4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0"/>
            </w:tblGrid>
            <w:tr w:rsidR="00F53BF2" w:rsidRPr="00E13E06" w:rsidTr="00370D0C">
              <w:trPr>
                <w:trHeight w:val="842"/>
              </w:trPr>
              <w:tc>
                <w:tcPr>
                  <w:tcW w:w="1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2" w:rsidRPr="00E13E06" w:rsidRDefault="00F53BF2" w:rsidP="00370D0C">
                  <w:pPr>
                    <w:framePr w:hSpace="180" w:wrap="around" w:vAnchor="text" w:hAnchor="margin" w:x="-215" w:y="-24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Прием</w:t>
                  </w:r>
                </w:p>
                <w:p w:rsidR="00F53BF2" w:rsidRPr="00E13E06" w:rsidRDefault="00F53BF2" w:rsidP="00370D0C">
                  <w:pPr>
                    <w:framePr w:hSpace="180" w:wrap="around" w:vAnchor="text" w:hAnchor="margin" w:x="-215" w:y="-24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документов</w:t>
                  </w:r>
                </w:p>
              </w:tc>
            </w:tr>
          </w:tbl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F48F1" wp14:editId="73FE0F2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3810</wp:posOffset>
                      </wp:positionV>
                      <wp:extent cx="0" cy="225425"/>
                      <wp:effectExtent l="53340" t="6350" r="60960" b="1587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47.85pt;margin-top:.3pt;width:0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db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4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9"/>
            </w:tblGrid>
            <w:tr w:rsidR="00F53BF2" w:rsidRPr="00E13E06" w:rsidTr="00370D0C">
              <w:trPr>
                <w:trHeight w:val="785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2" w:rsidRPr="00E13E06" w:rsidRDefault="00F53BF2" w:rsidP="00370D0C">
                  <w:pPr>
                    <w:framePr w:hSpace="180" w:wrap="around" w:vAnchor="text" w:hAnchor="margin" w:x="-215" w:y="-24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Рассмотрение</w:t>
                  </w:r>
                </w:p>
                <w:p w:rsidR="00F53BF2" w:rsidRPr="00E13E06" w:rsidRDefault="00F53BF2" w:rsidP="00370D0C">
                  <w:pPr>
                    <w:framePr w:hSpace="180" w:wrap="around" w:vAnchor="text" w:hAnchor="margin" w:x="-215" w:y="-24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</w:p>
              </w:tc>
            </w:tr>
          </w:tbl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974D10" wp14:editId="6B744430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635</wp:posOffset>
                      </wp:positionV>
                      <wp:extent cx="0" cy="344170"/>
                      <wp:effectExtent l="53340" t="13335" r="60960" b="2349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47.85pt;margin-top:.05pt;width:0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G7YAIAAHU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center" w:tblpY="3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0"/>
            </w:tblGrid>
            <w:tr w:rsidR="00F53BF2" w:rsidRPr="00E13E06" w:rsidTr="00370D0C">
              <w:trPr>
                <w:trHeight w:val="1085"/>
              </w:trPr>
              <w:tc>
                <w:tcPr>
                  <w:tcW w:w="3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2" w:rsidRPr="00E13E06" w:rsidRDefault="00F53BF2" w:rsidP="00370D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Оформление</w:t>
                  </w:r>
                </w:p>
                <w:p w:rsidR="00F53BF2" w:rsidRPr="00E13E06" w:rsidRDefault="00F53BF2" w:rsidP="00370D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градостроительного плана земельного участка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65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21"/>
            </w:tblGrid>
            <w:tr w:rsidR="00F53BF2" w:rsidRPr="00E13E06" w:rsidTr="00F53BF2">
              <w:trPr>
                <w:trHeight w:val="1141"/>
              </w:trPr>
              <w:tc>
                <w:tcPr>
                  <w:tcW w:w="3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BF2" w:rsidRPr="00E13E06" w:rsidRDefault="00F53BF2" w:rsidP="00F53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13E06">
                    <w:rPr>
                      <w:rFonts w:ascii="Times New Roman" w:hAnsi="Times New Roman"/>
                      <w:sz w:val="24"/>
                      <w:szCs w:val="24"/>
                    </w:rPr>
                    <w:t>Выдача градостроительного плана земельного участка</w:t>
                  </w:r>
                </w:p>
              </w:tc>
            </w:tr>
          </w:tbl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82E26" wp14:editId="3B4F48C4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34925</wp:posOffset>
                      </wp:positionV>
                      <wp:extent cx="0" cy="463550"/>
                      <wp:effectExtent l="53340" t="9525" r="60960" b="2222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3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47.85pt;margin-top:2.75pt;width:0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</w:p>
          <w:p w:rsidR="00F53BF2" w:rsidRPr="00E13E06" w:rsidRDefault="00F53BF2" w:rsidP="00370D0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F53BF2" w:rsidRPr="00E13E06" w:rsidRDefault="00F53BF2" w:rsidP="0037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ind w:left="139" w:hanging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3BF2" w:rsidRPr="00E13E06" w:rsidRDefault="00F53BF2" w:rsidP="00370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BF2" w:rsidRDefault="00F53BF2" w:rsidP="00F53BF2"/>
    <w:p w:rsidR="00CE4FF5" w:rsidRDefault="00CE4FF5"/>
    <w:sectPr w:rsidR="00CE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34" w:rsidRDefault="00A60D34" w:rsidP="00F53BF2">
      <w:pPr>
        <w:spacing w:after="0" w:line="240" w:lineRule="auto"/>
      </w:pPr>
      <w:r>
        <w:separator/>
      </w:r>
    </w:p>
  </w:endnote>
  <w:endnote w:type="continuationSeparator" w:id="0">
    <w:p w:rsidR="00A60D34" w:rsidRDefault="00A60D34" w:rsidP="00F5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34" w:rsidRDefault="00A60D34" w:rsidP="00F53BF2">
      <w:pPr>
        <w:spacing w:after="0" w:line="240" w:lineRule="auto"/>
      </w:pPr>
      <w:r>
        <w:separator/>
      </w:r>
    </w:p>
  </w:footnote>
  <w:footnote w:type="continuationSeparator" w:id="0">
    <w:p w:rsidR="00A60D34" w:rsidRDefault="00A60D34" w:rsidP="00F5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F2"/>
    <w:rsid w:val="00A60D34"/>
    <w:rsid w:val="00CE4FF5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2"/>
    <w:rPr>
      <w:rFonts w:ascii="Calibri" w:eastAsia="Calibri" w:hAnsi="Calibri" w:cs="Times New Roman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1"/>
    <w:uiPriority w:val="99"/>
    <w:qFormat/>
    <w:rsid w:val="00F53BF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5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"/>
    <w:basedOn w:val="a0"/>
    <w:link w:val="2"/>
    <w:uiPriority w:val="99"/>
    <w:locked/>
    <w:rsid w:val="00F53B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B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B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2"/>
    <w:rPr>
      <w:rFonts w:ascii="Calibri" w:eastAsia="Calibri" w:hAnsi="Calibri" w:cs="Times New Roman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1"/>
    <w:uiPriority w:val="99"/>
    <w:qFormat/>
    <w:rsid w:val="00F53BF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5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"/>
    <w:basedOn w:val="a0"/>
    <w:link w:val="2"/>
    <w:uiPriority w:val="99"/>
    <w:locked/>
    <w:rsid w:val="00F53B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B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5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B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2013-09-26T08:13:00Z</dcterms:created>
  <dcterms:modified xsi:type="dcterms:W3CDTF">2013-09-26T08:25:00Z</dcterms:modified>
</cp:coreProperties>
</file>