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A406C" w:rsidTr="009A406C">
        <w:tc>
          <w:tcPr>
            <w:tcW w:w="5306" w:type="dxa"/>
          </w:tcPr>
          <w:p w:rsidR="009A406C" w:rsidRDefault="009A4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9A406C" w:rsidRDefault="009A4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9A406C" w:rsidRDefault="009A406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9A406C" w:rsidRDefault="009A406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9A406C" w:rsidRDefault="009A406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9A406C" w:rsidRDefault="009A406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9A406C" w:rsidRDefault="009A406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9A406C" w:rsidRDefault="009A406C" w:rsidP="007932C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декабря 2016 г. № 4</w:t>
            </w:r>
            <w:r w:rsidR="007932C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ПРЕД</w:t>
      </w:r>
      <w:r w:rsidR="00881282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Администрация </w:t>
            </w:r>
            <w:r w:rsidR="00AC65A8" w:rsidRPr="00BE109D">
              <w:rPr>
                <w:rFonts w:ascii="Times New Roman" w:hAnsi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8D02A2" w:rsidP="007932C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</w:t>
            </w:r>
            <w:r w:rsidR="007932C2">
              <w:rPr>
                <w:rFonts w:ascii="Times New Roman" w:hAnsi="Times New Roman"/>
              </w:rPr>
              <w:t>589265</w:t>
            </w:r>
            <w:bookmarkStart w:id="0" w:name="_GoBack"/>
            <w:bookmarkEnd w:id="0"/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7932C2" w:rsidRDefault="0013261D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7932C2">
              <w:rPr>
                <w:rFonts w:ascii="Times New Roman" w:hAnsi="Times New Roman"/>
              </w:rPr>
              <w:t>Утвержден постановлением администрации Слободского сельского поселения Бобровского муниципального района Воронежской области от 01.06.2016 № 61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торгах.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радиотелефонная связь;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терминальные устройства в МФЦ;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официальный сайт органа;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 xml:space="preserve">- подача заявления лицом, не уполномоченным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представленные заявителем, по форме или содержанию не соответствуют требованиям действующего законодательства;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необходимые в соответствии с административным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указанное в заявке является предметом действующего договора аренды, безвозмездного пользования, доверительного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используется или будет использоваться для муниципальных нужд;</w:t>
            </w:r>
          </w:p>
          <w:p w:rsidR="00F37DD8" w:rsidRPr="00983E0C" w:rsidRDefault="0084674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DD8" w:rsidRPr="00983E0C">
              <w:rPr>
                <w:rFonts w:ascii="Times New Roman" w:hAnsi="Times New Roman"/>
              </w:rPr>
              <w:t>- отсутствуют основания для предоставления муниципального имущества в аренду  без торгов в соответствии с требованиями федерального закона «О защите конкуренции»;</w:t>
            </w:r>
            <w:r w:rsidR="00F37DD8"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собственности сельского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государственных и муниципальных услуг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</w:t>
            </w:r>
            <w:r>
              <w:rPr>
                <w:rFonts w:ascii="Times New Roman" w:hAnsi="Times New Roman"/>
              </w:rPr>
              <w:lastRenderedPageBreak/>
              <w:t>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 xml:space="preserve">2. Наименование «подуслуги»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календарных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календарных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приписки, зачеркнутые слова и иные не огово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 xml:space="preserve">-документы, представленные заявителем,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действующего законодательства;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необходимые в соответствии с административным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указанное в заявке является предметом действующего договора аренды, безвозмездного пользования, доверительного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используется или будет использоваться для муниципальных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федерального закона «О защите конкуренции»;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собственности сельского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 xml:space="preserve">- несоответствия требованиям, указанным в пункте 18 Правил, являющихся </w:t>
            </w:r>
            <w:r w:rsidRPr="00983E0C">
              <w:rPr>
                <w:rFonts w:ascii="Times New Roman" w:hAnsi="Times New Roman"/>
              </w:rPr>
              <w:t>Приложение 1 к Приказу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задатка, если требование о внесении задатка указано в извещении о проведении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 xml:space="preserve">- подачи заявки на участие в конкурсе или аукционе заявителем, не являющимся субъектом малого и среднего предпринимательства или организацией, </w:t>
            </w:r>
            <w:r w:rsidRPr="00983E0C">
              <w:rPr>
                <w:rFonts w:ascii="Times New Roman" w:eastAsia="Calibri" w:hAnsi="Times New Roman"/>
              </w:rPr>
              <w:lastRenderedPageBreak/>
              <w:t>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заявителя - юриди</w:t>
            </w:r>
            <w:r w:rsidRPr="00983E0C">
              <w:rPr>
                <w:rFonts w:ascii="Times New Roman" w:eastAsia="Calibri" w:hAnsi="Times New Roman"/>
              </w:rPr>
              <w:lastRenderedPageBreak/>
              <w:t>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в виде бумажного документа непосредственно при </w:t>
            </w:r>
            <w:r>
              <w:rPr>
                <w:rFonts w:ascii="Times New Roman" w:hAnsi="Times New Roman"/>
              </w:rPr>
              <w:lastRenderedPageBreak/>
              <w:t>личном обращении в администрацию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4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(шаблон) документа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447A75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t xml:space="preserve"> </w:t>
            </w:r>
            <w:r w:rsidR="007B4001"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9656EC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</w:t>
            </w:r>
            <w:r w:rsidR="00477BDA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7" w:type="dxa"/>
          </w:tcPr>
          <w:p w:rsidR="009656EC" w:rsidRPr="00983E0C" w:rsidRDefault="007B4001" w:rsidP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подтверждающий полномочия лица на осуществление действий от имени заявителя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подтверждающий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случае, если с заявлением обращ</w:t>
            </w:r>
            <w:r>
              <w:rPr>
                <w:rFonts w:ascii="Times New Roman" w:hAnsi="Times New Roman"/>
              </w:rPr>
              <w:t>ается представитель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докумен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юридическим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руководителя и печатью организации копию протокола (ре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участия в проведении торгов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заявители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проведении торгов в форме конкурса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б) полученную не ранее чем за шесть месяцев до даты размещения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документов заявителя (для юридических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заявителя - юридического лица, об отсутствии решения арбитражного суда о признании за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документов,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  <w:bookmarkStart w:id="2" w:name="Par0"/>
            <w:bookmarkEnd w:id="2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 xml:space="preserve">ля участия в проведении торгов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заявители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в)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документов заявителя (для юридических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постановлением Правительства Российской Федерации от 6 июня 2003 г. N 333 «О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документов, подтверждающих внесение задатка, в случае, если в документации об аукционе содержится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8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реестра юридических лиц (для юридическо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реестра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объекта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ФГБУ ФКП Росреестра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недвижимости (в случае аренды объекта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среднесписочной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среднесписочной численности работников за предшествующий календарный год (для субъектов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документы в целях проверки соответствия участника конкурса или аукциона требованиям, установленным законодательством Российской Федерации.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документы, являющиеся результатом «подуслуги»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документа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документов, являющих</w:t>
            </w:r>
            <w:r w:rsidRPr="00983E0C">
              <w:rPr>
                <w:rFonts w:ascii="Times New Roman" w:hAnsi="Times New Roman"/>
                <w:b/>
              </w:rPr>
              <w:t>ся результатом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документов, являющихся результатом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10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поселения  о предоставлении муниципального имущества в  аренду, безвозмездного пользования, проекта договора о предоставлении муниципального имущества в аренду, безвозмездного пользо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отказе в предостав</w:t>
            </w:r>
            <w:r w:rsidRPr="00983E0C">
              <w:rPr>
                <w:rFonts w:ascii="Times New Roman" w:hAnsi="Times New Roman"/>
              </w:rPr>
              <w:lastRenderedPageBreak/>
              <w:t>лении муниципальной услуги с указанием оснований такого отказа.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должностного лица, подгото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В сообщение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администрацию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регистрация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содержание;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Документационное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имуществе,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отсутствие прав третьих лиц на запрашиваемое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пользования муниципального имущества с участием заявителя на стороне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договоров устанавливается факт наличия или отсутствия  задолженности по платежам по данным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представленных учредительных документов (устав, учредительный договор) и документов, подтверждающих полномочия представителя  заявителя на заключение соответствующего договора на предмет наличия данных полномочий.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При установлении фактов отсутствия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административного регламента, специалист администрации  уведомляет заявителя о наличии препятствий для предоставления муниципального имущества в аренду безвозмездное пользование,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специалистом в журнале регистрации заявок с указанием в нем даты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 xml:space="preserve">ретендент имеет право отозвать поданную заявку до окончания срока приема заявок, в письменной форме уведомив об этом специалиста. Отзыв заявки регистрируется в журнале приема заявок.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специалистом в день её подачи заявителем с указанием даты и времени по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</w:tcPr>
          <w:p w:rsidR="009145EC" w:rsidRPr="00983E0C" w:rsidRDefault="002C188E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решения о предоставлении имущества в аренду, безвозмездное пользование или сообщения об отказе в предоставлении муниципальной услуги (без торгов)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муниципальной услуги, с учетом требований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о предоставлении муниципального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отказа в предоставлении муници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требований Федерального закона от 26.07.2006 г. №135-ФЗ «О защите конкуренции» подготавливается сообщение об отказе в предостав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безвозмездное пользование, специалист администрации: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запросов в рамках межведомственного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независимой оценки годового размера арендной платы в  соответствии с Федеральным законом «Об оценочной деятельности в Российской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независимого оценщика и документов в рамках межведомственного взаимодействия, специалист администрации,  осуществляет подготовку проекта решения о предоставлении муниципального имущества, либо о проведении торгов на предоставление муниципального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предоставлении муниципальной услуги подготавливается сообщение об отказе в предоставлении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</w:t>
            </w:r>
            <w:r w:rsidRPr="00983E0C">
              <w:rPr>
                <w:rFonts w:ascii="Times New Roman" w:hAnsi="Times New Roman"/>
              </w:rPr>
              <w:lastRenderedPageBreak/>
              <w:t>преференции,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26.06.2006 года №135-ФЗ «О защите конку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договоров о передаче муниципального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этапы: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пользования муниципальным имуществом;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муниципальной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безвозмездного пользования заключается в соответствии с действующим законодательством Российской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договора, муниципальное имущество передается арендатору или ссудополучателю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В случае заключения договора аренды на срок более 1 года, специалист администрации  предоставляет арендатору или ссудополучателю необходимый пакет документов для государственной регистрации договора аренды в 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органах осуществляющих государственную регистрацию прав на недвижимое имущество и сделок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525E56">
        <w:trPr>
          <w:trHeight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регистрация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выдает расписку в получении документов по установленной форме с указанием перечня до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Документационное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заявления с доку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имуществе,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отсутствие прав третьих лиц на запрашиваемое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пользования муниципального имущества с участием заявителя на стороне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договоров устанавливается факт наличия или отсутствия  задолженности по платежам по данным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представленных учредительных документов (устав, учредительный договор) и документов, подтверждающих полномочия представителя  заявителя на заключение соответствующего договора на предмет наличия данных полномочий.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администрации  уведом</w:t>
            </w:r>
            <w:r w:rsidRPr="00983E0C">
              <w:rPr>
                <w:rFonts w:ascii="Times New Roman" w:hAnsi="Times New Roman"/>
              </w:rPr>
              <w:lastRenderedPageBreak/>
              <w:t>ляет заявителя о наличии препятствий для предоставления муниципального имущества в аренду безвозмездное пользование,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предоставление муниципального имущества на торгах к заявлению (заявке) прилагается подписанная претендентом опись (в двух экземплярах) представленных им документов, один экземпляр которой выдается претенденту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специалистом в журнале регистрации заявок с указанием в нем даты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отозвать поданную заявку до окончания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заявки;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специалистом в день её подачи заявителем с указанием даты и времени подачи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Процедура принятия решения о признании заявителя участником </w:t>
            </w:r>
            <w:r w:rsidRPr="00983E0C">
              <w:rPr>
                <w:rFonts w:ascii="Times New Roman" w:hAnsi="Times New Roman"/>
              </w:rPr>
              <w:lastRenderedPageBreak/>
              <w:t>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участниками торгов.</w:t>
            </w:r>
            <w:r w:rsidRPr="008525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решения о предоставлении имущества в аренду, безвозмездное пользование или сообщения об отказе в предоставлении муниципальной услуги (проведение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муниципальной услуги, с учетом требований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пользования муниципального имущества.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безвозмездное пользование, специалист администрации: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запросов в рамках межведомственного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независимой оценки годового размера арендной платы в  соответствии с Федеральным законом «Об оценочной деятельности в Российской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независимого оценщика и документов в рамках межведомственного взаимодействия, специалист администрации,  осуществляет подготовку проекта решения о про</w:t>
            </w:r>
            <w:r w:rsidRPr="00983E0C">
              <w:rPr>
                <w:rFonts w:ascii="Times New Roman" w:hAnsi="Times New Roman"/>
              </w:rPr>
              <w:lastRenderedPageBreak/>
              <w:t>ведении торгов на предоставление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отказа в предоставлении муници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требований Федерального закона от 26.07.2006 г. №135-ФЗ «О защите конкуренции» подготавливается сообщение об отказе в предоставлении муниципальной услуги по основаниям, предусмотренным настоящим административным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6E39CF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      </w:r>
            <w:r w:rsidR="004827A8" w:rsidRPr="00852550">
              <w:rPr>
                <w:rFonts w:ascii="Times New Roman" w:hAnsi="Times New Roman"/>
              </w:rPr>
              <w:t xml:space="preserve">  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имущества, находящегося в муниципальной собственно</w:t>
            </w:r>
            <w:r w:rsidRPr="00CE2C1C">
              <w:rPr>
                <w:rFonts w:ascii="Times New Roman" w:hAnsi="Times New Roman"/>
              </w:rPr>
              <w:lastRenderedPageBreak/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Результаты административной процедуры фиксируются в протоколе.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6E39CF" w:rsidP="006E3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договоров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этапы: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пользования муниципальным имуществом;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муниципальной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безвозмездного пользования заключается в соответствии с действующим законодательством Российской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договора, муниципальное имущество передается арендатору или ссудополучателю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специалист администрации 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715868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12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881282" w:rsidRPr="00983E0C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sectPr w:rsidR="00881282" w:rsidRPr="00983E0C" w:rsidSect="0088128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41" w:rsidRDefault="00790841" w:rsidP="00F847AF">
      <w:pPr>
        <w:spacing w:after="0" w:line="240" w:lineRule="auto"/>
      </w:pPr>
      <w:r>
        <w:separator/>
      </w:r>
    </w:p>
  </w:endnote>
  <w:endnote w:type="continuationSeparator" w:id="0">
    <w:p w:rsidR="00790841" w:rsidRDefault="00790841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41" w:rsidRDefault="00790841" w:rsidP="00F847AF">
      <w:pPr>
        <w:spacing w:after="0" w:line="240" w:lineRule="auto"/>
      </w:pPr>
      <w:r>
        <w:separator/>
      </w:r>
    </w:p>
  </w:footnote>
  <w:footnote w:type="continuationSeparator" w:id="0">
    <w:p w:rsidR="00790841" w:rsidRDefault="00790841" w:rsidP="00F847AF">
      <w:pPr>
        <w:spacing w:after="0" w:line="240" w:lineRule="auto"/>
      </w:pPr>
      <w:r>
        <w:continuationSeparator/>
      </w:r>
    </w:p>
  </w:footnote>
  <w:footnote w:id="1">
    <w:p w:rsidR="00CE2C1C" w:rsidRDefault="00CE2C1C" w:rsidP="00F37DD8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CE2C1C" w:rsidRDefault="00CE2C1C" w:rsidP="00F37DD8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CE2C1C" w:rsidRDefault="00CE2C1C" w:rsidP="00F37DD8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подуслугам не различаются</w:t>
      </w:r>
    </w:p>
  </w:footnote>
  <w:footnote w:id="5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6">
    <w:p w:rsidR="00CE2C1C" w:rsidRPr="005257FF" w:rsidRDefault="00CE2C1C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CE2C1C" w:rsidRDefault="00CE2C1C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CE2C1C" w:rsidRDefault="00CE2C1C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подуслугам не различаются</w:t>
      </w:r>
    </w:p>
  </w:footnote>
  <w:footnote w:id="9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</w:t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10">
    <w:p w:rsidR="00CE2C1C" w:rsidRDefault="00CE2C1C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«подуслугам» не различаются.</w:t>
      </w:r>
    </w:p>
  </w:footnote>
  <w:footnote w:id="11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</w:t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2">
    <w:p w:rsidR="006E39CF" w:rsidRPr="00D04EE1" w:rsidRDefault="006E39CF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11008B"/>
    <w:rsid w:val="0011719D"/>
    <w:rsid w:val="00121825"/>
    <w:rsid w:val="00122F12"/>
    <w:rsid w:val="00123932"/>
    <w:rsid w:val="001256F2"/>
    <w:rsid w:val="0013261D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7DA7"/>
    <w:rsid w:val="001F10CC"/>
    <w:rsid w:val="001F44F2"/>
    <w:rsid w:val="001F6CE2"/>
    <w:rsid w:val="00205BD5"/>
    <w:rsid w:val="00213C24"/>
    <w:rsid w:val="002169F1"/>
    <w:rsid w:val="00217ABC"/>
    <w:rsid w:val="002266C3"/>
    <w:rsid w:val="00246D0E"/>
    <w:rsid w:val="00247506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31D8C"/>
    <w:rsid w:val="00541E15"/>
    <w:rsid w:val="00542CA2"/>
    <w:rsid w:val="00560202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D4238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90841"/>
    <w:rsid w:val="007932C2"/>
    <w:rsid w:val="007A1D2D"/>
    <w:rsid w:val="007B4001"/>
    <w:rsid w:val="007B5EEE"/>
    <w:rsid w:val="007C77E2"/>
    <w:rsid w:val="007D314E"/>
    <w:rsid w:val="007E17FE"/>
    <w:rsid w:val="007E2FF7"/>
    <w:rsid w:val="007F2CF1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46748"/>
    <w:rsid w:val="00852550"/>
    <w:rsid w:val="00861661"/>
    <w:rsid w:val="00870394"/>
    <w:rsid w:val="00870F37"/>
    <w:rsid w:val="008728D3"/>
    <w:rsid w:val="00881282"/>
    <w:rsid w:val="0089187A"/>
    <w:rsid w:val="00892857"/>
    <w:rsid w:val="00895CE7"/>
    <w:rsid w:val="00897B2A"/>
    <w:rsid w:val="008A73B3"/>
    <w:rsid w:val="008C4159"/>
    <w:rsid w:val="008D02A2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35BD0"/>
    <w:rsid w:val="009444DE"/>
    <w:rsid w:val="009524A7"/>
    <w:rsid w:val="00961817"/>
    <w:rsid w:val="009656EC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406C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C65A8"/>
    <w:rsid w:val="00AD34DB"/>
    <w:rsid w:val="00AD603F"/>
    <w:rsid w:val="00AD75FC"/>
    <w:rsid w:val="00AE3C74"/>
    <w:rsid w:val="00AF1D9F"/>
    <w:rsid w:val="00B00B16"/>
    <w:rsid w:val="00B00D19"/>
    <w:rsid w:val="00B25296"/>
    <w:rsid w:val="00B33311"/>
    <w:rsid w:val="00B33989"/>
    <w:rsid w:val="00B34AD9"/>
    <w:rsid w:val="00B45E92"/>
    <w:rsid w:val="00B4639A"/>
    <w:rsid w:val="00B54860"/>
    <w:rsid w:val="00B55FAA"/>
    <w:rsid w:val="00B62F99"/>
    <w:rsid w:val="00B67273"/>
    <w:rsid w:val="00B71E6A"/>
    <w:rsid w:val="00B80478"/>
    <w:rsid w:val="00B964F2"/>
    <w:rsid w:val="00BA052C"/>
    <w:rsid w:val="00BA4398"/>
    <w:rsid w:val="00BA7F9F"/>
    <w:rsid w:val="00BB6A5F"/>
    <w:rsid w:val="00BC0F13"/>
    <w:rsid w:val="00BC4ED3"/>
    <w:rsid w:val="00BD40AC"/>
    <w:rsid w:val="00BD57B9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B0D0F"/>
    <w:rsid w:val="00CB5641"/>
    <w:rsid w:val="00CB636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334D7"/>
    <w:rsid w:val="00D361AD"/>
    <w:rsid w:val="00D52D20"/>
    <w:rsid w:val="00D56D3F"/>
    <w:rsid w:val="00D65EFC"/>
    <w:rsid w:val="00D75D0A"/>
    <w:rsid w:val="00D76F99"/>
    <w:rsid w:val="00DA18D9"/>
    <w:rsid w:val="00DA74E8"/>
    <w:rsid w:val="00DB2FAD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17358"/>
    <w:rsid w:val="00F2678A"/>
    <w:rsid w:val="00F30F89"/>
    <w:rsid w:val="00F376CB"/>
    <w:rsid w:val="00F37DD8"/>
    <w:rsid w:val="00F41A76"/>
    <w:rsid w:val="00F52C8F"/>
    <w:rsid w:val="00F5751A"/>
    <w:rsid w:val="00F67812"/>
    <w:rsid w:val="00F75C09"/>
    <w:rsid w:val="00F75F4F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DDAA-3060-4E5D-BFA7-3C59498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63E0-05D8-4395-98F7-96D3E1D2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dcterms:created xsi:type="dcterms:W3CDTF">2016-11-07T11:29:00Z</dcterms:created>
  <dcterms:modified xsi:type="dcterms:W3CDTF">2016-12-12T08:50:00Z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