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6" w:rsidRPr="006D5CC6" w:rsidRDefault="006D5CC6" w:rsidP="006D5CC6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6D5CC6" w:rsidRPr="006D5CC6" w:rsidRDefault="002F2492" w:rsidP="006D5CC6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МАЗУРСКОГО</w:t>
      </w:r>
      <w:r w:rsidR="006D5CC6" w:rsidRPr="006D5C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6D5CC6" w:rsidRPr="006D5CC6" w:rsidRDefault="002F2492" w:rsidP="006D5CC6">
      <w:pPr>
        <w:spacing w:after="0" w:line="60" w:lineRule="atLeast"/>
        <w:ind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ПОВОРИНСКОГО</w:t>
      </w:r>
      <w:r w:rsidR="006D5CC6" w:rsidRPr="006D5C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</w:t>
      </w:r>
    </w:p>
    <w:p w:rsidR="006D5CC6" w:rsidRPr="006D5CC6" w:rsidRDefault="006D5CC6" w:rsidP="006D5CC6">
      <w:pPr>
        <w:spacing w:after="0" w:line="60" w:lineRule="atLeast"/>
        <w:ind w:firstLine="567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6D5CC6" w:rsidRPr="006D5CC6" w:rsidRDefault="006D5CC6" w:rsidP="006D5CC6">
      <w:pPr>
        <w:spacing w:after="0"/>
        <w:ind w:firstLine="567"/>
        <w:contextualSpacing/>
        <w:jc w:val="center"/>
        <w:rPr>
          <w:rFonts w:ascii="Arial" w:eastAsia="Times New Roman" w:hAnsi="Arial" w:cs="Arial"/>
          <w:bCs/>
          <w:position w:val="40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bCs/>
          <w:position w:val="40"/>
          <w:sz w:val="24"/>
          <w:szCs w:val="24"/>
          <w:lang w:eastAsia="ru-RU"/>
        </w:rPr>
        <w:t>ПОСТАНОВЛЕНИЕ</w:t>
      </w:r>
    </w:p>
    <w:p w:rsidR="006D5CC6" w:rsidRPr="006D5CC6" w:rsidRDefault="002F2492" w:rsidP="002F2492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 февраля 2023 г.       №12</w:t>
      </w:r>
    </w:p>
    <w:p w:rsidR="006D5CC6" w:rsidRPr="006D5CC6" w:rsidRDefault="006D5CC6" w:rsidP="006D5CC6">
      <w:pPr>
        <w:spacing w:before="240" w:after="60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D5C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</w:t>
      </w:r>
      <w:proofErr w:type="gramStart"/>
      <w:r w:rsidRPr="006D5C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Порядка осуществления казначейского сопровождения бюджетных средств </w:t>
      </w:r>
      <w:r w:rsidR="002F249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Мазурского</w:t>
      </w:r>
      <w:r w:rsidRPr="006D5C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</w:t>
      </w:r>
      <w:proofErr w:type="gramEnd"/>
      <w:r w:rsidRPr="006D5C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F249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Поворинского</w:t>
      </w:r>
      <w:r w:rsidRPr="006D5CC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Pr="006D5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Совета народных депутатов </w:t>
      </w:r>
      <w:r w:rsidR="002F2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D06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ельского поселения  </w:t>
      </w:r>
      <w:r w:rsidR="00D063F1" w:rsidRPr="00D063F1">
        <w:t>№7 от 25.04.2014</w:t>
      </w:r>
      <w:r w:rsidR="00D063F1" w:rsidRPr="00B65E0B">
        <w:rPr>
          <w:b/>
        </w:rPr>
        <w:t xml:space="preserve"> </w:t>
      </w:r>
      <w:r w:rsidRPr="006D5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Положения о бюджетном процессе в </w:t>
      </w:r>
      <w:r w:rsidR="005947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Мазурском</w:t>
      </w:r>
      <w:r w:rsidRPr="006D5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r w:rsidR="002F2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Поворинского</w:t>
      </w:r>
      <w:r w:rsidRPr="006D5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</w:t>
      </w:r>
      <w:r w:rsidR="00D06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района Воронежской области</w:t>
      </w:r>
      <w:proofErr w:type="gramEnd"/>
      <w:r w:rsidR="00D06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6D5CC6">
        <w:rPr>
          <w:rFonts w:ascii="Arial" w:eastAsia="Calibri" w:hAnsi="Arial" w:cs="Arial"/>
          <w:sz w:val="24"/>
          <w:szCs w:val="24"/>
        </w:rPr>
        <w:t xml:space="preserve">, решением </w:t>
      </w:r>
      <w:r w:rsidRPr="006D5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народных депутатов </w:t>
      </w:r>
      <w:r w:rsidR="002F2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Мазурского</w:t>
      </w:r>
      <w:r w:rsidR="00D063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30.12.2022 года № 32</w:t>
      </w:r>
      <w:r w:rsidRPr="006D5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бюджете </w:t>
      </w:r>
      <w:r w:rsidR="002F2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2F2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Поворинского</w:t>
      </w:r>
      <w:r w:rsidRPr="006D5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на 2023 год и на плановый период 2024 и 2025 годов», 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осуществления казначейского сопровождения бюджетных средств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2F2492" w:rsidRPr="002F2492" w:rsidRDefault="006D5CC6" w:rsidP="002F249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F2492" w:rsidRPr="00FD29F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Мазурского сельского поселения от 21.03.2022 №13 «Об утверждении Порядка осуществления казначейского сопровождения средств, предоставляемых из бюджета Мазурского сельского поселения в случаях, предусмотренных Бюджетным  кодексом Российской Федерации».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4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опубликования и распространяется на правоотношения, возникшие с 01 января 2023 года.</w:t>
      </w:r>
    </w:p>
    <w:p w:rsidR="006D5CC6" w:rsidRPr="006D5CC6" w:rsidRDefault="006D5CC6" w:rsidP="006D5CC6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6D5CC6" w:rsidRPr="006D5CC6" w:rsidRDefault="006D5CC6" w:rsidP="006D5CC6">
      <w:pPr>
        <w:spacing w:after="0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515"/>
      </w:tblGrid>
      <w:tr w:rsidR="006D5CC6" w:rsidRPr="006D5CC6" w:rsidTr="00C852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3F1" w:rsidRDefault="00D063F1" w:rsidP="006D5CC6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63F1" w:rsidRDefault="00D063F1" w:rsidP="006D5CC6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5CC6" w:rsidRPr="006D5CC6" w:rsidRDefault="006D5CC6" w:rsidP="006D5CC6">
            <w:pPr>
              <w:spacing w:after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D5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2F24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Мазурского</w:t>
            </w:r>
            <w:r w:rsidRPr="006D5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CC6" w:rsidRPr="006D5CC6" w:rsidRDefault="006D5CC6" w:rsidP="006D5CC6">
            <w:pPr>
              <w:spacing w:after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3F1" w:rsidRDefault="00D063F1" w:rsidP="006D5CC6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63F1" w:rsidRDefault="00D063F1" w:rsidP="006D5CC6">
            <w:pPr>
              <w:spacing w:after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D5CC6" w:rsidRPr="006D5CC6" w:rsidRDefault="002F2492" w:rsidP="006D5CC6">
            <w:pPr>
              <w:spacing w:after="0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Д.В.Чигарев</w:t>
            </w:r>
          </w:p>
        </w:tc>
      </w:tr>
    </w:tbl>
    <w:p w:rsidR="006D5CC6" w:rsidRPr="006D5CC6" w:rsidRDefault="006D5CC6" w:rsidP="006D5CC6">
      <w:pPr>
        <w:spacing w:after="0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5CC6" w:rsidRPr="006D5CC6" w:rsidRDefault="006D5CC6" w:rsidP="006D5CC6">
      <w:pPr>
        <w:spacing w:after="200" w:line="276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tbl>
      <w:tblPr>
        <w:tblpPr w:leftFromText="180" w:rightFromText="180" w:horzAnchor="margin" w:tblpY="495"/>
        <w:tblW w:w="9606" w:type="dxa"/>
        <w:tblLook w:val="04A0" w:firstRow="1" w:lastRow="0" w:firstColumn="1" w:lastColumn="0" w:noHBand="0" w:noVBand="1"/>
      </w:tblPr>
      <w:tblGrid>
        <w:gridCol w:w="4678"/>
        <w:gridCol w:w="4928"/>
      </w:tblGrid>
      <w:tr w:rsidR="006D5CC6" w:rsidRPr="006D5CC6" w:rsidTr="00C852D5">
        <w:tc>
          <w:tcPr>
            <w:tcW w:w="4678" w:type="dxa"/>
            <w:shd w:val="clear" w:color="auto" w:fill="auto"/>
          </w:tcPr>
          <w:p w:rsidR="006D5CC6" w:rsidRPr="006D5CC6" w:rsidRDefault="006D5CC6" w:rsidP="006D5CC6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6D5CC6" w:rsidRDefault="006D5CC6" w:rsidP="006D5CC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D5C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</w:t>
            </w:r>
            <w:r w:rsidRPr="006D5C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D5C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постановлению администрации </w:t>
            </w:r>
            <w:r w:rsidR="002F24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Мазурского</w:t>
            </w:r>
            <w:r w:rsidRPr="006D5C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</w:t>
            </w:r>
            <w:r w:rsidR="002F249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Поворинского муниципального района от 22 февраля 2023 г. № 12</w:t>
            </w:r>
          </w:p>
          <w:p w:rsidR="002F2492" w:rsidRPr="006D5CC6" w:rsidRDefault="002F2492" w:rsidP="006D5CC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bookmarkStart w:id="1" w:name="_Hlk95987465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казначейского сопровождения бюджетных средств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bookmarkEnd w:id="1"/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устанавливает правила осуществления администрацией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казначейского сопровождения средств, определенных решением Совета народных депутатов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о района от 30.12.2022 года № 32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2023 год и на плановый период 2024 и 2025 годов», в соответствии со статьей 242.26 Бюджетного кодекса Российской Федерации, получаемых (полученных) участниками казначейского сопровождения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из бюджета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- целевые средства, участник казначейского сопровождения) на основании: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1.1. муниципальных контрактов о поставке товаров, выполнении работ, оказании услуг (далее – муниципальных контрактах);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1.2.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исполнения, которых являются субсидии и бюджетные инвестиции, указанные в настоящем абзаце (далее – договор (соглашение));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1.3. 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средства, предоставленные в рамках исполнения муниципальных контрактов, договоров (соглашений), указанных в подпунктах «1.1.» и «1.2.» настоящего пункта (далее – контракт (договор)).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2. Положения настоящего Порядка распространяются: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2.1. в отношении договоров (соглашений), контрактов (договоров) — на концессионные соглашения, соглашения о </w:t>
      </w:r>
      <w:proofErr w:type="spell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2.2. в отношении участников казначейского сопровождения их обособленные (структурные) подразделения.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Воронежской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администрацией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 соответствии с общими требованиями, установленными Федеральным казначейством, с пунктом 9 статьи 220.1 Бюджетного кодекса.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4. При открытии в администрации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5. Операции с целевыми средствами, отраженными на лицевых счетах, проводятся после осуществления администрацией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санкционирования расходов в порядке, установленном администрацией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соответствии с порядком санкционирования установленным постановлением Правительства Российской Федерации от 01.12.2021 года № 2155 (далее – порядок санкционирования).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6.1. об открытии участнику казначейского сопровождения лицевого счета в администрации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порядке, установленном администрацией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6.2. о представлении в администрацию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подлежащих санкционированию операций с целевыми средствами, документов;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6.3.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6.4.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6.5.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6.6.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6.7. 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6.8.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Воронежской области, постановлениями администрации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  <w:proofErr w:type="gramEnd"/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7. Администрация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расширенное казначейское сопровождение целевых сре</w:t>
      </w: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>дств в сл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8.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При казначейском сопровождении обмен документами между администрацией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получателем средств бюджета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Поворинского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</w:t>
      </w:r>
      <w:proofErr w:type="gramEnd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или участника казначейского сопровождения (далее - электронная подпись).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6D5CC6" w:rsidRPr="006D5CC6" w:rsidRDefault="006D5CC6" w:rsidP="006D5CC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6D5CC6" w:rsidRPr="006D5CC6" w:rsidRDefault="006D5CC6" w:rsidP="006D5CC6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2F2492">
        <w:rPr>
          <w:rFonts w:ascii="Arial" w:eastAsia="Times New Roman" w:hAnsi="Arial" w:cs="Arial"/>
          <w:sz w:val="24"/>
          <w:szCs w:val="24"/>
          <w:lang w:eastAsia="ru-RU"/>
        </w:rPr>
        <w:t>Мазурского</w:t>
      </w:r>
      <w:r w:rsidRPr="006D5C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F12C76" w:rsidRDefault="00F12C76" w:rsidP="006C0B77">
      <w:pPr>
        <w:spacing w:after="0"/>
        <w:ind w:firstLine="709"/>
        <w:jc w:val="both"/>
      </w:pPr>
    </w:p>
    <w:sectPr w:rsidR="00F12C76" w:rsidSect="002F2492">
      <w:pgSz w:w="11906" w:h="16838"/>
      <w:pgMar w:top="139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21" w:rsidRDefault="00E83921">
      <w:pPr>
        <w:spacing w:after="0"/>
      </w:pPr>
      <w:r>
        <w:separator/>
      </w:r>
    </w:p>
  </w:endnote>
  <w:endnote w:type="continuationSeparator" w:id="0">
    <w:p w:rsidR="00E83921" w:rsidRDefault="00E83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21" w:rsidRDefault="00E83921">
      <w:pPr>
        <w:spacing w:after="0"/>
      </w:pPr>
      <w:r>
        <w:separator/>
      </w:r>
    </w:p>
  </w:footnote>
  <w:footnote w:type="continuationSeparator" w:id="0">
    <w:p w:rsidR="00E83921" w:rsidRDefault="00E839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28"/>
    <w:rsid w:val="00054812"/>
    <w:rsid w:val="0023523D"/>
    <w:rsid w:val="002F2492"/>
    <w:rsid w:val="0059473C"/>
    <w:rsid w:val="006C0B77"/>
    <w:rsid w:val="006D5CC6"/>
    <w:rsid w:val="00787628"/>
    <w:rsid w:val="008242FF"/>
    <w:rsid w:val="00870751"/>
    <w:rsid w:val="008C694D"/>
    <w:rsid w:val="00922C48"/>
    <w:rsid w:val="00A7295E"/>
    <w:rsid w:val="00B915B7"/>
    <w:rsid w:val="00BC0030"/>
    <w:rsid w:val="00C2037B"/>
    <w:rsid w:val="00D063F1"/>
    <w:rsid w:val="00E8392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CC6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5CC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5CC6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CC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F2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CC6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5CC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D5CC6"/>
    <w:pPr>
      <w:tabs>
        <w:tab w:val="center" w:pos="4677"/>
        <w:tab w:val="right" w:pos="9355"/>
      </w:tabs>
      <w:spacing w:after="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D5CC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F2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8CB4-D9C7-43DA-A87F-F0C75462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GrechihinRA</dc:creator>
  <cp:lastModifiedBy>User</cp:lastModifiedBy>
  <cp:revision>4</cp:revision>
  <dcterms:created xsi:type="dcterms:W3CDTF">2023-03-01T12:46:00Z</dcterms:created>
  <dcterms:modified xsi:type="dcterms:W3CDTF">2023-03-01T12:49:00Z</dcterms:modified>
</cp:coreProperties>
</file>