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D" w:rsidRPr="00A0000D" w:rsidRDefault="00A0000D" w:rsidP="00A0000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0000D">
        <w:rPr>
          <w:rFonts w:ascii="Times New Roman" w:hAnsi="Times New Roman"/>
          <w:sz w:val="28"/>
          <w:szCs w:val="28"/>
        </w:rPr>
        <w:t>АДМИНИСТРАЦИЯ</w:t>
      </w:r>
    </w:p>
    <w:p w:rsidR="00A0000D" w:rsidRPr="00A0000D" w:rsidRDefault="00CB30C8" w:rsidP="00A0000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МИХАЙЛОВСКОГО    </w:t>
      </w:r>
      <w:r w:rsidR="00A0000D" w:rsidRPr="00A0000D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0000D" w:rsidRPr="00A0000D">
        <w:rPr>
          <w:rFonts w:ascii="Times New Roman" w:hAnsi="Times New Roman"/>
          <w:sz w:val="28"/>
          <w:szCs w:val="28"/>
        </w:rPr>
        <w:t>ПОСЕЛЕНИЯ</w:t>
      </w:r>
    </w:p>
    <w:p w:rsidR="00A0000D" w:rsidRPr="00A0000D" w:rsidRDefault="00A0000D" w:rsidP="00A0000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0000D">
        <w:rPr>
          <w:rFonts w:ascii="Times New Roman" w:hAnsi="Times New Roman"/>
          <w:sz w:val="28"/>
          <w:szCs w:val="28"/>
        </w:rPr>
        <w:t>ПАНИНСКОГО</w:t>
      </w:r>
      <w:r w:rsidR="00CB30C8">
        <w:rPr>
          <w:rFonts w:ascii="Times New Roman" w:hAnsi="Times New Roman"/>
          <w:sz w:val="28"/>
          <w:szCs w:val="28"/>
        </w:rPr>
        <w:t xml:space="preserve">    </w:t>
      </w:r>
      <w:r w:rsidRPr="00A0000D">
        <w:rPr>
          <w:rFonts w:ascii="Times New Roman" w:hAnsi="Times New Roman"/>
          <w:sz w:val="28"/>
          <w:szCs w:val="28"/>
        </w:rPr>
        <w:t xml:space="preserve"> МУНИЦИПАЛЬНОГО</w:t>
      </w:r>
      <w:r w:rsidR="00CB30C8">
        <w:rPr>
          <w:rFonts w:ascii="Times New Roman" w:hAnsi="Times New Roman"/>
          <w:sz w:val="28"/>
          <w:szCs w:val="28"/>
        </w:rPr>
        <w:t xml:space="preserve">   </w:t>
      </w:r>
      <w:r w:rsidRPr="00A0000D">
        <w:rPr>
          <w:rFonts w:ascii="Times New Roman" w:hAnsi="Times New Roman"/>
          <w:sz w:val="28"/>
          <w:szCs w:val="28"/>
        </w:rPr>
        <w:t xml:space="preserve"> РАЙОНА</w:t>
      </w:r>
    </w:p>
    <w:p w:rsidR="00A0000D" w:rsidRPr="00A0000D" w:rsidRDefault="00A0000D" w:rsidP="00A0000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0000D">
        <w:rPr>
          <w:rFonts w:ascii="Times New Roman" w:hAnsi="Times New Roman"/>
          <w:sz w:val="28"/>
          <w:szCs w:val="28"/>
        </w:rPr>
        <w:t>ВОРОНЕЖСКОЙ ОБЛАСТИ</w:t>
      </w:r>
    </w:p>
    <w:p w:rsidR="00A0000D" w:rsidRPr="00A0000D" w:rsidRDefault="00A0000D" w:rsidP="00A0000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000D" w:rsidRPr="00A0000D" w:rsidRDefault="00A0000D" w:rsidP="00A0000D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0000D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0000D" w:rsidRPr="00A0000D" w:rsidRDefault="00A0000D" w:rsidP="00A0000D">
      <w:pPr>
        <w:rPr>
          <w:rFonts w:ascii="Times New Roman" w:hAnsi="Times New Roman"/>
          <w:sz w:val="28"/>
          <w:szCs w:val="28"/>
        </w:rPr>
      </w:pPr>
    </w:p>
    <w:p w:rsidR="00A0000D" w:rsidRPr="00A0000D" w:rsidRDefault="00A0000D" w:rsidP="00FF7930">
      <w:pPr>
        <w:ind w:firstLine="0"/>
        <w:rPr>
          <w:rFonts w:ascii="Times New Roman" w:hAnsi="Times New Roman"/>
          <w:sz w:val="28"/>
          <w:szCs w:val="28"/>
        </w:rPr>
      </w:pPr>
      <w:r w:rsidRPr="00A000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11 июля</w:t>
      </w:r>
      <w:r w:rsidR="00CB30C8">
        <w:rPr>
          <w:rFonts w:ascii="Times New Roman" w:hAnsi="Times New Roman"/>
          <w:sz w:val="28"/>
          <w:szCs w:val="28"/>
        </w:rPr>
        <w:t xml:space="preserve"> 2023 г. № 24</w:t>
      </w:r>
    </w:p>
    <w:p w:rsidR="00A0000D" w:rsidRDefault="00CB30C8" w:rsidP="00A000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Михайловский</w:t>
      </w:r>
    </w:p>
    <w:p w:rsidR="00A0000D" w:rsidRPr="00A0000D" w:rsidRDefault="00A0000D" w:rsidP="00A0000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32"/>
      </w:tblGrid>
      <w:tr w:rsidR="00A0000D" w:rsidRPr="003321AC" w:rsidTr="00B0216B">
        <w:trPr>
          <w:trHeight w:val="4111"/>
        </w:trPr>
        <w:tc>
          <w:tcPr>
            <w:tcW w:w="5232" w:type="dxa"/>
          </w:tcPr>
          <w:p w:rsidR="00A0000D" w:rsidRPr="00B0216B" w:rsidRDefault="00A0000D" w:rsidP="00562141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6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CB30C8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Pr="00B0216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Панинского муниципального района Воронежской области от </w:t>
            </w:r>
            <w:r w:rsidR="00CB30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62141" w:rsidRPr="00B0216B">
              <w:rPr>
                <w:rFonts w:ascii="Times New Roman" w:hAnsi="Times New Roman" w:cs="Times New Roman"/>
                <w:sz w:val="28"/>
                <w:szCs w:val="28"/>
              </w:rPr>
              <w:t>.05.2016</w:t>
            </w:r>
            <w:r w:rsidRPr="00B021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</w:t>
            </w:r>
            <w:r w:rsidR="00CB30C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FF7930" w:rsidRPr="00575E4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F7930" w:rsidRPr="00A0000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</w:t>
            </w:r>
            <w:r w:rsidR="00A659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039F0" w:rsidRPr="00A0000D" w:rsidRDefault="003039F0" w:rsidP="0081653F">
      <w:pPr>
        <w:ind w:right="6503"/>
        <w:rPr>
          <w:rFonts w:ascii="Times New Roman" w:hAnsi="Times New Roman"/>
          <w:sz w:val="28"/>
          <w:szCs w:val="28"/>
        </w:rPr>
      </w:pPr>
    </w:p>
    <w:p w:rsidR="003039F0" w:rsidRPr="00A0000D" w:rsidRDefault="009E6BD4" w:rsidP="00637C56">
      <w:pPr>
        <w:ind w:right="4" w:firstLine="709"/>
        <w:rPr>
          <w:rFonts w:ascii="Times New Roman" w:hAnsi="Times New Roman"/>
          <w:bCs/>
          <w:spacing w:val="40"/>
          <w:sz w:val="28"/>
          <w:szCs w:val="28"/>
        </w:rPr>
      </w:pPr>
      <w:r w:rsidRPr="00A0000D">
        <w:rPr>
          <w:rFonts w:ascii="Times New Roman" w:hAnsi="Times New Roman"/>
          <w:sz w:val="28"/>
          <w:szCs w:val="28"/>
        </w:rPr>
        <w:t>В</w:t>
      </w:r>
      <w:r w:rsidR="003039F0" w:rsidRPr="00A0000D">
        <w:rPr>
          <w:rFonts w:ascii="Times New Roman" w:hAnsi="Times New Roman"/>
          <w:sz w:val="28"/>
          <w:szCs w:val="28"/>
        </w:rPr>
        <w:t xml:space="preserve"> соответствии с Федеральным законом от 27.07.2010 г. № 210-ФЗ «Об организации предоставления государ</w:t>
      </w:r>
      <w:r w:rsidR="005728DF" w:rsidRPr="00A0000D">
        <w:rPr>
          <w:rFonts w:ascii="Times New Roman" w:hAnsi="Times New Roman"/>
          <w:sz w:val="28"/>
          <w:szCs w:val="28"/>
        </w:rPr>
        <w:t xml:space="preserve">ственных и муниципальных услуг» и рассмотрев </w:t>
      </w:r>
      <w:r w:rsidR="00D12BE3" w:rsidRPr="00A0000D">
        <w:rPr>
          <w:rFonts w:ascii="Times New Roman" w:hAnsi="Times New Roman"/>
          <w:sz w:val="28"/>
          <w:szCs w:val="28"/>
        </w:rPr>
        <w:t>протест</w:t>
      </w:r>
      <w:r w:rsidR="00A0000D" w:rsidRPr="00A0000D">
        <w:rPr>
          <w:rFonts w:ascii="Times New Roman" w:hAnsi="Times New Roman"/>
          <w:sz w:val="28"/>
          <w:szCs w:val="28"/>
        </w:rPr>
        <w:t xml:space="preserve"> прокуратуры Панинского района от 29.06.</w:t>
      </w:r>
      <w:r w:rsidR="005728DF" w:rsidRPr="00A0000D">
        <w:rPr>
          <w:rFonts w:ascii="Times New Roman" w:hAnsi="Times New Roman"/>
          <w:sz w:val="28"/>
          <w:szCs w:val="28"/>
        </w:rPr>
        <w:t>2023 № 2-1-202</w:t>
      </w:r>
      <w:r w:rsidR="006E5942" w:rsidRPr="00A0000D">
        <w:rPr>
          <w:rFonts w:ascii="Times New Roman" w:hAnsi="Times New Roman"/>
          <w:sz w:val="28"/>
          <w:szCs w:val="28"/>
        </w:rPr>
        <w:t>3</w:t>
      </w:r>
      <w:r w:rsidR="002E27BC" w:rsidRPr="00A0000D">
        <w:rPr>
          <w:rFonts w:ascii="Times New Roman" w:hAnsi="Times New Roman"/>
          <w:sz w:val="28"/>
          <w:szCs w:val="28"/>
        </w:rPr>
        <w:t>,</w:t>
      </w:r>
      <w:r w:rsidR="003039F0" w:rsidRPr="00A0000D">
        <w:rPr>
          <w:rFonts w:ascii="Times New Roman" w:hAnsi="Times New Roman"/>
          <w:sz w:val="28"/>
          <w:szCs w:val="28"/>
        </w:rPr>
        <w:t xml:space="preserve"> администрация </w:t>
      </w:r>
      <w:r w:rsidR="00CB30C8">
        <w:rPr>
          <w:rFonts w:ascii="Times New Roman" w:hAnsi="Times New Roman"/>
          <w:sz w:val="28"/>
          <w:szCs w:val="28"/>
        </w:rPr>
        <w:t xml:space="preserve">Михайловского </w:t>
      </w:r>
      <w:r w:rsidR="0051233A" w:rsidRPr="00A0000D">
        <w:rPr>
          <w:rFonts w:ascii="Times New Roman" w:hAnsi="Times New Roman"/>
          <w:sz w:val="28"/>
          <w:szCs w:val="28"/>
        </w:rPr>
        <w:t xml:space="preserve">сельского </w:t>
      </w:r>
      <w:r w:rsidR="003039F0" w:rsidRPr="00A0000D">
        <w:rPr>
          <w:rFonts w:ascii="Times New Roman" w:hAnsi="Times New Roman"/>
          <w:sz w:val="28"/>
          <w:szCs w:val="28"/>
        </w:rPr>
        <w:t>поселения</w:t>
      </w:r>
      <w:r w:rsidR="00CB30C8">
        <w:rPr>
          <w:rFonts w:ascii="Times New Roman" w:hAnsi="Times New Roman"/>
          <w:sz w:val="28"/>
          <w:szCs w:val="28"/>
        </w:rPr>
        <w:t xml:space="preserve"> </w:t>
      </w:r>
      <w:r w:rsidR="00A0000D">
        <w:rPr>
          <w:rFonts w:ascii="Times New Roman" w:hAnsi="Times New Roman"/>
          <w:sz w:val="28"/>
          <w:szCs w:val="28"/>
        </w:rPr>
        <w:t xml:space="preserve">Панинского муниципального района Воронежской области </w:t>
      </w:r>
      <w:r w:rsidR="003039F0" w:rsidRPr="00A0000D">
        <w:rPr>
          <w:rFonts w:ascii="Times New Roman" w:hAnsi="Times New Roman"/>
          <w:bCs/>
          <w:spacing w:val="40"/>
          <w:sz w:val="28"/>
          <w:szCs w:val="28"/>
        </w:rPr>
        <w:t>ПОСТАНОВЛЯЕТ:</w:t>
      </w:r>
    </w:p>
    <w:p w:rsidR="006E5942" w:rsidRPr="00A0000D" w:rsidRDefault="003039F0" w:rsidP="006E594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0000D">
        <w:rPr>
          <w:rFonts w:ascii="Times New Roman" w:hAnsi="Times New Roman"/>
          <w:sz w:val="28"/>
          <w:szCs w:val="28"/>
        </w:rPr>
        <w:t>1.</w:t>
      </w:r>
      <w:r w:rsidR="009E6BD4" w:rsidRPr="00A0000D">
        <w:rPr>
          <w:rFonts w:ascii="Times New Roman" w:hAnsi="Times New Roman"/>
          <w:sz w:val="28"/>
          <w:szCs w:val="28"/>
        </w:rPr>
        <w:t xml:space="preserve">Внести </w:t>
      </w:r>
      <w:r w:rsidR="005728DF" w:rsidRPr="00A0000D">
        <w:rPr>
          <w:rFonts w:ascii="Times New Roman" w:hAnsi="Times New Roman"/>
          <w:sz w:val="28"/>
          <w:szCs w:val="28"/>
        </w:rPr>
        <w:t xml:space="preserve">следующие </w:t>
      </w:r>
      <w:r w:rsidR="009E6BD4" w:rsidRPr="00A0000D">
        <w:rPr>
          <w:rFonts w:ascii="Times New Roman" w:hAnsi="Times New Roman"/>
          <w:sz w:val="28"/>
          <w:szCs w:val="28"/>
        </w:rPr>
        <w:t>изменения в постановление администрации</w:t>
      </w:r>
      <w:r w:rsidR="00CB30C8">
        <w:rPr>
          <w:rFonts w:ascii="Times New Roman" w:hAnsi="Times New Roman"/>
          <w:sz w:val="28"/>
          <w:szCs w:val="28"/>
        </w:rPr>
        <w:t xml:space="preserve"> Михайловского  </w:t>
      </w:r>
      <w:r w:rsidR="0051233A" w:rsidRPr="00A0000D">
        <w:rPr>
          <w:rFonts w:ascii="Times New Roman" w:hAnsi="Times New Roman"/>
          <w:sz w:val="28"/>
          <w:szCs w:val="28"/>
        </w:rPr>
        <w:t>сельского</w:t>
      </w:r>
      <w:r w:rsidR="009E6BD4" w:rsidRPr="00A0000D">
        <w:rPr>
          <w:rFonts w:ascii="Times New Roman" w:hAnsi="Times New Roman"/>
          <w:sz w:val="28"/>
          <w:szCs w:val="28"/>
        </w:rPr>
        <w:t xml:space="preserve"> поселения</w:t>
      </w:r>
      <w:r w:rsidR="00CB30C8">
        <w:rPr>
          <w:rFonts w:ascii="Times New Roman" w:hAnsi="Times New Roman"/>
          <w:sz w:val="28"/>
          <w:szCs w:val="28"/>
        </w:rPr>
        <w:t xml:space="preserve"> </w:t>
      </w:r>
      <w:r w:rsidR="00B141DF" w:rsidRPr="00B0216B">
        <w:rPr>
          <w:rFonts w:ascii="Times New Roman" w:hAnsi="Times New Roman"/>
          <w:sz w:val="28"/>
          <w:szCs w:val="28"/>
        </w:rPr>
        <w:t>Панинского муниципального района Воронежской области</w:t>
      </w:r>
      <w:r w:rsidR="009E6BD4" w:rsidRPr="00A0000D">
        <w:rPr>
          <w:rFonts w:ascii="Times New Roman" w:hAnsi="Times New Roman"/>
          <w:sz w:val="28"/>
          <w:szCs w:val="28"/>
        </w:rPr>
        <w:t xml:space="preserve"> от </w:t>
      </w:r>
      <w:r w:rsidR="00CB30C8">
        <w:rPr>
          <w:rFonts w:ascii="Times New Roman" w:hAnsi="Times New Roman"/>
          <w:sz w:val="28"/>
          <w:szCs w:val="28"/>
        </w:rPr>
        <w:t>27</w:t>
      </w:r>
      <w:r w:rsidR="00B0216B" w:rsidRPr="00575E44">
        <w:rPr>
          <w:rFonts w:ascii="Times New Roman" w:hAnsi="Times New Roman"/>
          <w:sz w:val="28"/>
          <w:szCs w:val="28"/>
        </w:rPr>
        <w:t xml:space="preserve">.05.2016 </w:t>
      </w:r>
      <w:r w:rsidR="009E6BD4" w:rsidRPr="00575E44">
        <w:rPr>
          <w:rFonts w:ascii="Times New Roman" w:hAnsi="Times New Roman"/>
          <w:sz w:val="28"/>
          <w:szCs w:val="28"/>
        </w:rPr>
        <w:t xml:space="preserve"> № </w:t>
      </w:r>
      <w:r w:rsidR="00CB30C8">
        <w:rPr>
          <w:rFonts w:ascii="Times New Roman" w:hAnsi="Times New Roman"/>
          <w:sz w:val="28"/>
          <w:szCs w:val="28"/>
        </w:rPr>
        <w:t>71</w:t>
      </w:r>
      <w:r w:rsidR="009E6BD4" w:rsidRPr="00575E44">
        <w:rPr>
          <w:rFonts w:ascii="Times New Roman" w:hAnsi="Times New Roman"/>
          <w:sz w:val="28"/>
          <w:szCs w:val="28"/>
        </w:rPr>
        <w:t xml:space="preserve"> «</w:t>
      </w:r>
      <w:r w:rsidR="009E6BD4" w:rsidRPr="00A0000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E5942" w:rsidRPr="00A0000D">
        <w:rPr>
          <w:rFonts w:ascii="Times New Roman" w:hAnsi="Times New Roman"/>
          <w:sz w:val="28"/>
          <w:szCs w:val="28"/>
        </w:rPr>
        <w:t>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</w:t>
      </w:r>
      <w:r w:rsidR="00B141D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5728DF" w:rsidRPr="00A0000D">
        <w:rPr>
          <w:rFonts w:ascii="Times New Roman" w:hAnsi="Times New Roman"/>
          <w:sz w:val="28"/>
          <w:szCs w:val="28"/>
        </w:rPr>
        <w:t>:</w:t>
      </w:r>
    </w:p>
    <w:p w:rsidR="00314FA1" w:rsidRPr="00A0000D" w:rsidRDefault="006E5942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hAnsi="Times New Roman"/>
          <w:sz w:val="28"/>
          <w:szCs w:val="28"/>
        </w:rPr>
        <w:t xml:space="preserve">1.1. </w:t>
      </w:r>
      <w:r w:rsidR="00314FA1" w:rsidRPr="00A0000D">
        <w:rPr>
          <w:rFonts w:ascii="Times New Roman" w:eastAsia="Calibri" w:hAnsi="Times New Roman"/>
          <w:bCs/>
          <w:sz w:val="28"/>
          <w:szCs w:val="28"/>
        </w:rPr>
        <w:t>Подпункт 2.6.1 пункта 2.6 приложения к постановлению изложить в новой редакции:</w:t>
      </w:r>
    </w:p>
    <w:p w:rsidR="00314FA1" w:rsidRPr="00A0000D" w:rsidRDefault="00314FA1" w:rsidP="00314F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0000D">
        <w:rPr>
          <w:rFonts w:ascii="Times New Roman" w:hAnsi="Times New Roman"/>
          <w:sz w:val="28"/>
          <w:szCs w:val="28"/>
        </w:rPr>
        <w:t>«2.6.1.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314FA1" w:rsidRPr="00A0000D" w:rsidRDefault="00314FA1" w:rsidP="00314F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00D">
        <w:rPr>
          <w:rFonts w:ascii="Times New Roman" w:hAnsi="Times New Roman"/>
          <w:sz w:val="28"/>
          <w:szCs w:val="28"/>
        </w:rPr>
        <w:lastRenderedPageBreak/>
        <w:t>Муниципальная услуга предоставляется на основании заявления, поступившего в администрацию или в МФЦ.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Для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 гражданин и члены его семьи представляют в орган местного самоуправления следующие документы: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заявление о признании граждан малоимущими, подписанное лично дееспособными заявителем и членами семьи, ограниченно дееспособными с согласия попечителей, законными представителями недееспособных членов семьи;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документы, удостоверяющие личность гражданина и членов его семьи;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документы, выданные (оформленные) в ходе гражданского судопроизводства, в том числе решения судов общей юрисдикции;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документы, подтверждающие доходы гражданина и членов его семьи, указанные в части 1 статьи 4 Закона Воронежской области от 30 ноября 2005 г. N 72-ОЗ "О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области".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документы, не находящиеся в распоряжении органов государственной власти, органов местного самоуправления, подведомственных им организациях, содержащие сведения о стоимости имущества, указанного в части 1 статьи 5 Закона Воронежской области от 30 ноября 2005 г. N 72-ОЗ "О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области" (при наличии в собственности гражданина и членов его семьи соответствующего имущества).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Документы представляются в подлинниках или в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соответствующие документы, либо нотариально засвидетельствованных по желанию гражданина.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Образец заявления приведен в приложении N 2 к настоящему Административному регламенту.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Заявление на бумажном носителе представляется: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посредством почтового отправления;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при личном обращении заявителя либо его законного представителя.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lastRenderedPageBreak/>
        <w:t>В электронной форме заявление представляется с использованием Единого портала государственных и муниципальных услуг (функций) и (или) Портала Воронежской области.»;</w:t>
      </w:r>
    </w:p>
    <w:p w:rsidR="00314FA1" w:rsidRPr="00A0000D" w:rsidRDefault="00314FA1" w:rsidP="00314FA1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1.2. Подпункт 2.6.2 пункта 2.6 приложения к постановлению изложить в новой редакции:</w:t>
      </w:r>
    </w:p>
    <w:p w:rsidR="00D77330" w:rsidRPr="00A0000D" w:rsidRDefault="00314FA1" w:rsidP="00D77330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«</w:t>
      </w:r>
      <w:r w:rsidR="00D77330" w:rsidRPr="00A0000D">
        <w:rPr>
          <w:rFonts w:ascii="Times New Roman" w:eastAsia="Calibri" w:hAnsi="Times New Roman"/>
          <w:bCs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D77330" w:rsidRPr="00A0000D" w:rsidRDefault="00D77330" w:rsidP="00D77330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сведений из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о правах гражданина и членов его семьи на имеющиеся у них объекты недвижимого имущества, а также на имевшиеся у них в течение пяти лет, предшествующих дате подачи заявления о признании гражданина и членов его семьи малоимущими, объекты недвижимого имущества;</w:t>
      </w:r>
    </w:p>
    <w:p w:rsidR="00D77330" w:rsidRPr="00A0000D" w:rsidRDefault="00D77330" w:rsidP="00D77330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</w:p>
    <w:p w:rsidR="00D77330" w:rsidRPr="00A0000D" w:rsidRDefault="00D77330" w:rsidP="00D77330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документов из организации (органа)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 с ним";</w:t>
      </w:r>
    </w:p>
    <w:p w:rsidR="00D77330" w:rsidRPr="00A0000D" w:rsidRDefault="00D77330" w:rsidP="00D77330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документов из налоговых органов, подтверждающих сведения о 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налогу;</w:t>
      </w:r>
    </w:p>
    <w:p w:rsidR="00D77330" w:rsidRPr="00A0000D" w:rsidRDefault="00D77330" w:rsidP="00D77330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- документов, содержащих сведения о стоимости принадлежащего имущества, указанного в пунктах 1, 2 части 1 статьи 5 Закона Воронежской области от 30 ноября 2005 г. N 72-ОЗ "О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области" (при наличии в собственности гражданина и членов его семьи соответствующего имущества).</w:t>
      </w:r>
    </w:p>
    <w:p w:rsidR="00D77330" w:rsidRPr="00A0000D" w:rsidRDefault="00D77330" w:rsidP="00D77330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Гражданин вправе представить указанные документы по собственной инициативе.».</w:t>
      </w:r>
    </w:p>
    <w:p w:rsidR="00FC3EE2" w:rsidRPr="00A0000D" w:rsidRDefault="00FC3EE2" w:rsidP="00D77330">
      <w:pPr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314FA1" w:rsidRPr="00A0000D" w:rsidRDefault="00FC3EE2" w:rsidP="00314FA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t>1.3. Раздел 5 приложения к постановлению изложить в новой редакции:</w:t>
      </w:r>
    </w:p>
    <w:p w:rsidR="00FC3EE2" w:rsidRPr="00A0000D" w:rsidRDefault="00FC3EE2" w:rsidP="00FC3EE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</w:rPr>
        <w:lastRenderedPageBreak/>
        <w:t>« 5</w:t>
      </w: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A0000D">
        <w:rPr>
          <w:rFonts w:ascii="Times New Roman" w:eastAsia="Calibri" w:hAnsi="Times New Roman"/>
          <w:bCs/>
          <w:i/>
          <w:sz w:val="28"/>
          <w:szCs w:val="28"/>
          <w:lang w:eastAsia="en-US"/>
        </w:rPr>
        <w:t>,</w:t>
      </w: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8" w:history="1">
        <w:r w:rsidRPr="00A0000D">
          <w:rPr>
            <w:rFonts w:ascii="Times New Roman" w:eastAsia="Calibr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5.2. Заявитель может обратиться с жалобой в том числе в следующих случаях: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9" w:history="1">
        <w:r w:rsidRPr="00A0000D">
          <w:rPr>
            <w:rFonts w:ascii="Times New Roman" w:eastAsia="Calibri" w:hAnsi="Times New Roman"/>
            <w:bCs/>
            <w:sz w:val="28"/>
            <w:szCs w:val="28"/>
            <w:lang w:eastAsia="en-US"/>
          </w:rPr>
          <w:t>статье 15.1</w:t>
        </w:r>
      </w:hyperlink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0000D">
          <w:rPr>
            <w:rFonts w:ascii="Times New Roman" w:eastAsia="Calibr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B30C8">
        <w:rPr>
          <w:rFonts w:ascii="Times New Roman" w:eastAsia="Calibri" w:hAnsi="Times New Roman"/>
          <w:bCs/>
          <w:sz w:val="28"/>
          <w:szCs w:val="28"/>
          <w:lang w:eastAsia="en-US"/>
        </w:rPr>
        <w:t>Михайловского</w:t>
      </w:r>
      <w:r w:rsidR="0051233A"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</w:t>
      </w: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поселения для предоставления муниципальной услуги;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B30C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Михайловского </w:t>
      </w:r>
      <w:r w:rsidR="0051233A"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сельского</w:t>
      </w: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поселения для предоставления муниципальной услуги, у заявителя;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B30C8">
        <w:rPr>
          <w:rFonts w:ascii="Times New Roman" w:eastAsia="Calibri" w:hAnsi="Times New Roman"/>
          <w:bCs/>
          <w:sz w:val="28"/>
          <w:szCs w:val="28"/>
          <w:lang w:eastAsia="en-US"/>
        </w:rPr>
        <w:t>Михайловского</w:t>
      </w:r>
      <w:r w:rsidR="0051233A"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</w:t>
      </w: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поселения.В </w:t>
      </w: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A0000D">
          <w:rPr>
            <w:rFonts w:ascii="Times New Roman" w:eastAsia="Calibr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B30C8">
        <w:rPr>
          <w:rFonts w:ascii="Times New Roman" w:eastAsia="Calibri" w:hAnsi="Times New Roman"/>
          <w:bCs/>
          <w:sz w:val="28"/>
          <w:szCs w:val="28"/>
          <w:lang w:eastAsia="en-US"/>
        </w:rPr>
        <w:t>Михайловского</w:t>
      </w:r>
      <w:r w:rsidR="0051233A"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</w:t>
      </w: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поселения;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0000D">
          <w:rPr>
            <w:rFonts w:ascii="Times New Roman" w:eastAsia="Calibr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B30C8">
        <w:rPr>
          <w:rFonts w:ascii="Times New Roman" w:eastAsia="Calibri" w:hAnsi="Times New Roman"/>
          <w:bCs/>
          <w:sz w:val="28"/>
          <w:szCs w:val="28"/>
          <w:lang w:eastAsia="en-US"/>
        </w:rPr>
        <w:t>Михайловского</w:t>
      </w:r>
      <w:r w:rsidR="0051233A"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</w:t>
      </w: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поселения.В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0000D">
          <w:rPr>
            <w:rFonts w:ascii="Times New Roman" w:eastAsia="Calibr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A0000D">
          <w:rPr>
            <w:rFonts w:ascii="Times New Roman" w:eastAsia="Calibri" w:hAnsi="Times New Roman"/>
            <w:bCs/>
            <w:sz w:val="28"/>
            <w:szCs w:val="28"/>
            <w:lang w:eastAsia="en-US"/>
          </w:rPr>
          <w:t>пунктом 4 части 1 статьи 7</w:t>
        </w:r>
      </w:hyperlink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</w:t>
      </w: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A0000D">
          <w:rPr>
            <w:rFonts w:ascii="Times New Roman" w:eastAsia="Calibr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5.7. Заявитель может обжаловать решения и действия (бездействие) должностных лиц, муниципальных служащих администрации главе администрации</w:t>
      </w:r>
      <w:r w:rsidR="0051233A" w:rsidRPr="00A0000D">
        <w:rPr>
          <w:rFonts w:ascii="Times New Roman" w:eastAsia="Calibri" w:hAnsi="Times New Roman"/>
          <w:bCs/>
          <w:i/>
          <w:sz w:val="28"/>
          <w:szCs w:val="28"/>
          <w:lang w:eastAsia="en-US"/>
        </w:rPr>
        <w:t>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Глава администрации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1233A"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Новосильского сельского</w:t>
      </w: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поселения;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</w:t>
      </w: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5.11. </w:t>
      </w:r>
      <w:r w:rsidRPr="00A0000D">
        <w:rPr>
          <w:rFonts w:ascii="Times New Roman" w:eastAsia="Calibr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26.04.2013№ 53-ОЗ «Об особенностях подачи и рассмотрения жалоб на нарушение порядка предоставления государственных услуг в Воронежской области»в отношении того же заявителя и по тому же предмету жалобы;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A0000D">
          <w:rPr>
            <w:rFonts w:ascii="Times New Roman" w:eastAsia="Calibri" w:hAnsi="Times New Roman"/>
            <w:bCs/>
            <w:sz w:val="28"/>
            <w:szCs w:val="28"/>
            <w:lang w:eastAsia="en-US"/>
          </w:rPr>
          <w:t>пункте 5.9</w:t>
        </w:r>
      </w:hyperlink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</w:t>
      </w: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A0000D">
          <w:rPr>
            <w:rFonts w:ascii="Times New Roman" w:eastAsia="Calibri" w:hAnsi="Times New Roman"/>
            <w:bCs/>
            <w:sz w:val="28"/>
            <w:szCs w:val="28"/>
            <w:lang w:eastAsia="en-US"/>
          </w:rPr>
          <w:t>пункте 5.13</w:t>
        </w:r>
      </w:hyperlink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0000D">
        <w:rPr>
          <w:rFonts w:ascii="Times New Roman" w:eastAsia="Calibri" w:hAnsi="Times New Roman"/>
          <w:bCs/>
          <w:sz w:val="28"/>
          <w:szCs w:val="28"/>
          <w:lang w:eastAsia="en-US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FC3EE2" w:rsidRPr="00A0000D" w:rsidRDefault="00FC3EE2" w:rsidP="00FC3EE2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D77330" w:rsidRPr="00A0000D" w:rsidRDefault="00FC3EE2" w:rsidP="00FC3EE2">
      <w:pPr>
        <w:rPr>
          <w:rFonts w:ascii="Times New Roman" w:hAnsi="Times New Roman"/>
          <w:sz w:val="28"/>
          <w:szCs w:val="28"/>
        </w:rPr>
      </w:pPr>
      <w:r w:rsidRPr="00A0000D">
        <w:rPr>
          <w:rFonts w:ascii="Times New Roman" w:eastAsia="Calibri" w:hAnsi="Times New Roman"/>
          <w:sz w:val="28"/>
          <w:szCs w:val="28"/>
          <w:lang w:eastAsia="en-US"/>
        </w:rPr>
        <w:t xml:space="preserve">1.4. Приложение № 3 к Административному регламенту изложить в новой редакции согласно приложения. </w:t>
      </w:r>
    </w:p>
    <w:p w:rsidR="00FC3EE2" w:rsidRPr="004543BC" w:rsidRDefault="00FC3EE2" w:rsidP="0081653F">
      <w:pPr>
        <w:shd w:val="clear" w:color="auto" w:fill="FFFFFF"/>
        <w:ind w:firstLine="709"/>
        <w:rPr>
          <w:rFonts w:cs="Arial"/>
        </w:rPr>
      </w:pPr>
    </w:p>
    <w:p w:rsidR="00A0000D" w:rsidRPr="00A0000D" w:rsidRDefault="00A0000D" w:rsidP="00A0000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0000D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официальном печатном издании </w:t>
      </w:r>
      <w:r w:rsidR="00CB30C8">
        <w:rPr>
          <w:rFonts w:ascii="Times New Roman" w:hAnsi="Times New Roman"/>
          <w:sz w:val="28"/>
          <w:szCs w:val="28"/>
        </w:rPr>
        <w:t>Михайловского</w:t>
      </w:r>
      <w:r w:rsidR="00A70A3F">
        <w:rPr>
          <w:rFonts w:ascii="Times New Roman" w:hAnsi="Times New Roman"/>
          <w:sz w:val="28"/>
          <w:szCs w:val="28"/>
        </w:rPr>
        <w:t xml:space="preserve"> </w:t>
      </w:r>
      <w:r w:rsidRPr="00A0000D">
        <w:rPr>
          <w:rFonts w:ascii="Times New Roman" w:hAnsi="Times New Roman"/>
          <w:sz w:val="28"/>
          <w:szCs w:val="28"/>
        </w:rPr>
        <w:t>сельского поселения Панинского муниципального района Воронежской области «</w:t>
      </w:r>
      <w:r w:rsidR="00A70A3F">
        <w:rPr>
          <w:rFonts w:ascii="Times New Roman" w:hAnsi="Times New Roman"/>
          <w:sz w:val="28"/>
          <w:szCs w:val="28"/>
        </w:rPr>
        <w:t>Михайло</w:t>
      </w:r>
      <w:r w:rsidRPr="00A0000D">
        <w:rPr>
          <w:rFonts w:ascii="Times New Roman" w:hAnsi="Times New Roman"/>
          <w:sz w:val="28"/>
          <w:szCs w:val="28"/>
        </w:rPr>
        <w:t xml:space="preserve">вский муниципальный вестник» и разместить на официальном сайте </w:t>
      </w:r>
      <w:r w:rsidR="00CB30C8">
        <w:rPr>
          <w:rFonts w:ascii="Times New Roman" w:hAnsi="Times New Roman"/>
          <w:sz w:val="28"/>
          <w:szCs w:val="28"/>
        </w:rPr>
        <w:t>Михайловского</w:t>
      </w:r>
      <w:r w:rsidR="00A70A3F">
        <w:rPr>
          <w:rFonts w:ascii="Times New Roman" w:hAnsi="Times New Roman"/>
          <w:sz w:val="28"/>
          <w:szCs w:val="28"/>
        </w:rPr>
        <w:t xml:space="preserve"> </w:t>
      </w:r>
      <w:r w:rsidRPr="00A0000D">
        <w:rPr>
          <w:rFonts w:ascii="Times New Roman" w:hAnsi="Times New Roman"/>
          <w:sz w:val="28"/>
          <w:szCs w:val="28"/>
        </w:rPr>
        <w:t>сельского поселения Панинского муниципального района Воронежской области в сети «Интернет».</w:t>
      </w:r>
    </w:p>
    <w:p w:rsidR="00A0000D" w:rsidRPr="00A0000D" w:rsidRDefault="00A0000D" w:rsidP="00A0000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0000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0000D" w:rsidRPr="00A0000D" w:rsidRDefault="00A0000D" w:rsidP="00A0000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0000D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                                                                                                                    </w:t>
      </w:r>
    </w:p>
    <w:p w:rsidR="00A0000D" w:rsidRPr="00A0000D" w:rsidRDefault="00A0000D" w:rsidP="00A0000D">
      <w:pPr>
        <w:rPr>
          <w:rFonts w:ascii="Times New Roman" w:hAnsi="Times New Roman"/>
          <w:sz w:val="28"/>
          <w:szCs w:val="28"/>
        </w:rPr>
      </w:pPr>
    </w:p>
    <w:p w:rsidR="00A0000D" w:rsidRPr="00A0000D" w:rsidRDefault="00961EC9" w:rsidP="00A0000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И.оглавы</w:t>
      </w:r>
      <w:r w:rsidR="00A0000D" w:rsidRPr="00A0000D">
        <w:rPr>
          <w:rFonts w:ascii="Times New Roman" w:hAnsi="Times New Roman"/>
          <w:sz w:val="28"/>
          <w:szCs w:val="28"/>
        </w:rPr>
        <w:t xml:space="preserve"> </w:t>
      </w:r>
    </w:p>
    <w:p w:rsidR="006E5942" w:rsidRPr="004543BC" w:rsidRDefault="00CB30C8" w:rsidP="00A0000D">
      <w:pPr>
        <w:ind w:firstLine="0"/>
        <w:jc w:val="left"/>
        <w:rPr>
          <w:rFonts w:cs="Arial"/>
        </w:rPr>
      </w:pPr>
      <w:r>
        <w:rPr>
          <w:rFonts w:ascii="Times New Roman" w:hAnsi="Times New Roman"/>
          <w:sz w:val="28"/>
          <w:szCs w:val="28"/>
        </w:rPr>
        <w:t>Михайловского</w:t>
      </w:r>
      <w:r w:rsidR="00A0000D" w:rsidRPr="00A0000D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</w:t>
      </w:r>
      <w:r w:rsidR="00A70A3F">
        <w:rPr>
          <w:rFonts w:ascii="Times New Roman" w:hAnsi="Times New Roman"/>
          <w:sz w:val="28"/>
          <w:szCs w:val="28"/>
        </w:rPr>
        <w:t>Н.В.Усталова</w:t>
      </w:r>
      <w:r w:rsidR="006E5942" w:rsidRPr="004543BC">
        <w:rPr>
          <w:rFonts w:cs="Arial"/>
        </w:rPr>
        <w:br w:type="page"/>
      </w:r>
    </w:p>
    <w:p w:rsidR="006E5942" w:rsidRPr="004543BC" w:rsidRDefault="006E5942" w:rsidP="006E5942">
      <w:pPr>
        <w:ind w:firstLine="0"/>
        <w:jc w:val="left"/>
        <w:rPr>
          <w:rFonts w:cs="Arial"/>
        </w:rPr>
        <w:sectPr w:rsidR="006E5942" w:rsidRPr="004543BC" w:rsidSect="00637C56">
          <w:pgSz w:w="11905" w:h="16838"/>
          <w:pgMar w:top="2268" w:right="567" w:bottom="567" w:left="1701" w:header="720" w:footer="720" w:gutter="0"/>
          <w:cols w:space="720"/>
        </w:sectPr>
      </w:pPr>
    </w:p>
    <w:p w:rsidR="006E5942" w:rsidRPr="004543BC" w:rsidRDefault="006E5942" w:rsidP="00E7738C">
      <w:pPr>
        <w:autoSpaceDE w:val="0"/>
        <w:autoSpaceDN w:val="0"/>
        <w:adjustRightInd w:val="0"/>
        <w:ind w:left="9639" w:firstLine="0"/>
        <w:jc w:val="left"/>
        <w:outlineLvl w:val="0"/>
        <w:rPr>
          <w:rFonts w:cs="Arial"/>
        </w:rPr>
      </w:pPr>
      <w:r w:rsidRPr="004543BC">
        <w:rPr>
          <w:rFonts w:cs="Arial"/>
        </w:rPr>
        <w:lastRenderedPageBreak/>
        <w:t>Приложение N 3</w:t>
      </w:r>
    </w:p>
    <w:p w:rsidR="006E5942" w:rsidRPr="004543BC" w:rsidRDefault="006E5942" w:rsidP="00E7738C">
      <w:pPr>
        <w:autoSpaceDE w:val="0"/>
        <w:autoSpaceDN w:val="0"/>
        <w:adjustRightInd w:val="0"/>
        <w:ind w:left="9639" w:firstLine="0"/>
        <w:jc w:val="left"/>
        <w:rPr>
          <w:rFonts w:cs="Arial"/>
        </w:rPr>
      </w:pPr>
      <w:r w:rsidRPr="004543BC">
        <w:rPr>
          <w:rFonts w:cs="Arial"/>
        </w:rPr>
        <w:t>к Административному регламенту</w:t>
      </w:r>
      <w:r w:rsidR="00C10253" w:rsidRPr="004543BC">
        <w:rPr>
          <w:rFonts w:cs="Arial"/>
        </w:rPr>
        <w:br/>
        <w:t xml:space="preserve">(в редакции от </w:t>
      </w:r>
      <w:r w:rsidR="00C561E8" w:rsidRPr="004543BC">
        <w:rPr>
          <w:rFonts w:cs="Arial"/>
        </w:rPr>
        <w:t xml:space="preserve">05.06.2023 г. </w:t>
      </w:r>
      <w:r w:rsidR="00C10253" w:rsidRPr="004543BC">
        <w:rPr>
          <w:rFonts w:cs="Arial"/>
        </w:rPr>
        <w:t>№</w:t>
      </w:r>
      <w:r w:rsidR="005E3C82">
        <w:rPr>
          <w:rFonts w:cs="Arial"/>
        </w:rPr>
        <w:t xml:space="preserve"> 22</w:t>
      </w:r>
      <w:r w:rsidR="00C10253" w:rsidRPr="004543BC">
        <w:rPr>
          <w:rFonts w:cs="Arial"/>
        </w:rPr>
        <w:t>)</w:t>
      </w:r>
    </w:p>
    <w:p w:rsidR="006E5942" w:rsidRPr="004543BC" w:rsidRDefault="006E5942" w:rsidP="006E5942">
      <w:pPr>
        <w:autoSpaceDE w:val="0"/>
        <w:autoSpaceDN w:val="0"/>
        <w:adjustRightInd w:val="0"/>
        <w:rPr>
          <w:rFonts w:cs="Arial"/>
        </w:rPr>
      </w:pPr>
    </w:p>
    <w:p w:rsidR="00C10253" w:rsidRPr="004543BC" w:rsidRDefault="00C10253" w:rsidP="00C10253">
      <w:pPr>
        <w:autoSpaceDE w:val="0"/>
        <w:autoSpaceDN w:val="0"/>
        <w:adjustRightInd w:val="0"/>
        <w:ind w:left="8789" w:right="1954" w:firstLine="0"/>
        <w:rPr>
          <w:rFonts w:cs="Arial"/>
        </w:rPr>
      </w:pPr>
      <w:r w:rsidRPr="004543BC">
        <w:rPr>
          <w:rFonts w:cs="Arial"/>
        </w:rPr>
        <w:t>Приложение к заявлению</w:t>
      </w:r>
    </w:p>
    <w:p w:rsidR="00C10253" w:rsidRPr="004543BC" w:rsidRDefault="00C10253" w:rsidP="00C1025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543BC">
        <w:rPr>
          <w:rFonts w:cs="Arial"/>
        </w:rPr>
        <w:t>Перечень</w:t>
      </w:r>
    </w:p>
    <w:p w:rsidR="00C10253" w:rsidRPr="004543BC" w:rsidRDefault="00C10253" w:rsidP="00C1025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543BC">
        <w:rPr>
          <w:rFonts w:cs="Arial"/>
        </w:rPr>
        <w:t>документов, необходимых для признания гражданмалоимущими в целях постановки на учет и предоставленияим жилых помещений по договорам социального найма</w:t>
      </w:r>
    </w:p>
    <w:p w:rsidR="00C10253" w:rsidRPr="004543BC" w:rsidRDefault="00C10253" w:rsidP="00C10253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55"/>
        <w:gridCol w:w="8505"/>
        <w:gridCol w:w="4252"/>
        <w:gridCol w:w="882"/>
      </w:tblGrid>
      <w:tr w:rsidR="00E7738C" w:rsidRPr="00543137" w:rsidTr="00890B7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N п/п</w:t>
            </w:r>
          </w:p>
        </w:tc>
        <w:tc>
          <w:tcPr>
            <w:tcW w:w="4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Наименование документов (с указанием, подлинник или копия)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Кол-во экз.</w:t>
            </w:r>
          </w:p>
        </w:tc>
      </w:tr>
      <w:tr w:rsidR="00E7738C" w:rsidRPr="00543137" w:rsidTr="00890B7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E7738C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Документы, подтверждающие факт родства, супружеских отношений (свидетельство о рождении, о заключении брака, судебные решения)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в течение пяти лет, предшествующих дате подачи заявления о признании гражданина и (или) членов его семьи малоимущими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Копии документов из налоговых органов, подтверждающих сведения о 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Документы, подтверждающие сведения о стоимости принадлежащего имущества:</w:t>
            </w:r>
          </w:p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жилых домов, квартир, дач, садовых домиков в садоводческих товариществах, гаражей и иных строений, помещений и сооружений, а также долей в праве общей собственности на указанное имущество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 xml:space="preserve">____________________________________ ____________________________________ ____________________________________ ____________________________________ </w:t>
            </w:r>
            <w:r w:rsidRPr="00543137">
              <w:rPr>
                <w:rFonts w:cs="Arial"/>
                <w:sz w:val="20"/>
                <w:szCs w:val="20"/>
              </w:rPr>
              <w:lastRenderedPageBreak/>
              <w:t>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земельных участков, долей в праве общей собственности на земельные участки (за 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одного на семью или одиноко проживающего гражданина);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автомобилей, мотоциклов, мотороллеров и автобусов (за исключением произведенных на территории РФ и стран СНГ со сроком эксплуатации десять и более лет начиная с года выпуска);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средств, зарегистрированных в установленном порядке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паенакоплений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предметов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сумм, находящихся во вкладах в учреждениях банков и других кредитных учреждениях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ценных бумаг в их стоимостном выражении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валютных ценностей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иного имущества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Копии налоговых деклараций о доходах за расчетный период, заверенные налоговыми</w:t>
            </w:r>
          </w:p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органами (если гражданин в соответствии с законодательством о налогах и сборах обязан подавать декларацию)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Справки о доходах физического лица, если заявитель, член семьи, одиноко проживающий гражданин в соответствии с законодательством не обязан подавать налоговую декларацию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E7738C">
            <w:pPr>
              <w:pStyle w:val="ad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Документы, подтверждающие доходы, полученные каждым членом семьи или одиноко проживающим гражданином в денежной и натуральной форме, в том числе:</w:t>
            </w:r>
          </w:p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ежемесячное пожизненное содержание судей, вышедших в отставку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 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ввозрасте от 14 до 18 лет в период их участия во временных работах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 xml:space="preserve"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</w:t>
            </w:r>
            <w:r w:rsidRPr="00543137">
              <w:rPr>
                <w:rFonts w:cs="Arial"/>
                <w:sz w:val="20"/>
                <w:szCs w:val="20"/>
              </w:rPr>
              <w:lastRenderedPageBreak/>
              <w:t>ранние сроки беременности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lastRenderedPageBreak/>
              <w:t xml:space="preserve">____________________________________ ____________________________________ </w:t>
            </w:r>
            <w:r w:rsidRPr="00543137">
              <w:rPr>
                <w:rFonts w:cs="Arial"/>
                <w:sz w:val="20"/>
                <w:szCs w:val="20"/>
              </w:rPr>
              <w:lastRenderedPageBreak/>
              <w:t>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 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оплата работ по договорам, заключаемым в соответствии с гражданским законодательством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авторские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 xml:space="preserve">____________________________________ ____________________________________ ____________________________________ </w:t>
            </w:r>
            <w:r w:rsidRPr="00543137">
              <w:rPr>
                <w:rFonts w:cs="Arial"/>
                <w:sz w:val="20"/>
                <w:szCs w:val="20"/>
              </w:rPr>
              <w:lastRenderedPageBreak/>
              <w:t>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алименты, получаемые членами семьи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проценты по банковским вкладам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наследуемые и подаренные денежные средства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7738C" w:rsidRPr="00543137" w:rsidTr="00890B7A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3" w:rsidRPr="00543137" w:rsidRDefault="00C10253" w:rsidP="00C1025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543137">
              <w:rPr>
                <w:rFonts w:cs="Arial"/>
                <w:sz w:val="20"/>
                <w:szCs w:val="20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253" w:rsidRPr="00543137" w:rsidRDefault="00C10253" w:rsidP="00C1025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C10253" w:rsidRPr="004543BC" w:rsidRDefault="00C10253" w:rsidP="004543BC">
      <w:pPr>
        <w:autoSpaceDE w:val="0"/>
        <w:autoSpaceDN w:val="0"/>
        <w:adjustRightInd w:val="0"/>
        <w:ind w:firstLine="0"/>
        <w:rPr>
          <w:rFonts w:cs="Arial"/>
        </w:rPr>
      </w:pPr>
      <w:r w:rsidRPr="004543BC">
        <w:rPr>
          <w:rFonts w:cs="Arial"/>
        </w:rPr>
        <w:t>Всего документов ____________________________________________ экз.</w:t>
      </w:r>
    </w:p>
    <w:p w:rsidR="00C10253" w:rsidRPr="004543BC" w:rsidRDefault="00C10253" w:rsidP="00C10253">
      <w:pPr>
        <w:autoSpaceDE w:val="0"/>
        <w:autoSpaceDN w:val="0"/>
        <w:adjustRightInd w:val="0"/>
        <w:ind w:firstLine="709"/>
        <w:rPr>
          <w:rFonts w:cs="Arial"/>
        </w:rPr>
      </w:pPr>
      <w:r w:rsidRPr="004543BC">
        <w:rPr>
          <w:rFonts w:cs="Arial"/>
        </w:rPr>
        <w:t>Передано "___"_____________ 20___ г. ______________________________________</w:t>
      </w:r>
    </w:p>
    <w:p w:rsidR="00C10253" w:rsidRPr="004543BC" w:rsidRDefault="00C10253" w:rsidP="00C10253">
      <w:pPr>
        <w:autoSpaceDE w:val="0"/>
        <w:autoSpaceDN w:val="0"/>
        <w:adjustRightInd w:val="0"/>
        <w:ind w:firstLine="709"/>
        <w:rPr>
          <w:rFonts w:cs="Arial"/>
        </w:rPr>
      </w:pPr>
      <w:r w:rsidRPr="004543BC">
        <w:rPr>
          <w:rFonts w:cs="Arial"/>
        </w:rPr>
        <w:t>подпись заявителя</w:t>
      </w:r>
    </w:p>
    <w:p w:rsidR="00C10253" w:rsidRPr="004543BC" w:rsidRDefault="00C10253" w:rsidP="00C10253">
      <w:pPr>
        <w:autoSpaceDE w:val="0"/>
        <w:autoSpaceDN w:val="0"/>
        <w:adjustRightInd w:val="0"/>
        <w:ind w:firstLine="709"/>
        <w:rPr>
          <w:rFonts w:cs="Arial"/>
        </w:rPr>
      </w:pPr>
      <w:r w:rsidRPr="004543BC">
        <w:rPr>
          <w:rFonts w:cs="Arial"/>
        </w:rPr>
        <w:t>Принято"___"_____________ 20___ г. ______________________________________</w:t>
      </w:r>
    </w:p>
    <w:p w:rsidR="00C10253" w:rsidRPr="004543BC" w:rsidRDefault="00C10253" w:rsidP="00C10253">
      <w:pPr>
        <w:autoSpaceDE w:val="0"/>
        <w:autoSpaceDN w:val="0"/>
        <w:adjustRightInd w:val="0"/>
        <w:ind w:firstLine="709"/>
        <w:rPr>
          <w:rFonts w:cs="Arial"/>
        </w:rPr>
      </w:pPr>
      <w:r w:rsidRPr="004543BC">
        <w:rPr>
          <w:rFonts w:cs="Arial"/>
        </w:rPr>
        <w:t>подпись должностного лица, принявшего документы</w:t>
      </w:r>
    </w:p>
    <w:p w:rsidR="006E5942" w:rsidRPr="004543BC" w:rsidRDefault="006E5942" w:rsidP="006E5942">
      <w:pPr>
        <w:ind w:firstLine="0"/>
        <w:jc w:val="left"/>
        <w:rPr>
          <w:rFonts w:cs="Arial"/>
        </w:rPr>
        <w:sectPr w:rsidR="006E5942" w:rsidRPr="004543BC" w:rsidSect="00637C56">
          <w:pgSz w:w="16838" w:h="11905" w:orient="landscape"/>
          <w:pgMar w:top="2268" w:right="567" w:bottom="567" w:left="1701" w:header="720" w:footer="720" w:gutter="0"/>
          <w:cols w:space="720"/>
        </w:sectPr>
      </w:pPr>
    </w:p>
    <w:p w:rsidR="009E6BD4" w:rsidRPr="004543BC" w:rsidRDefault="009E6BD4" w:rsidP="00543137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sectPr w:rsidR="009E6BD4" w:rsidRPr="004543BC" w:rsidSect="00637C56">
      <w:pgSz w:w="11905" w:h="16838"/>
      <w:pgMar w:top="2268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74" w:rsidRDefault="00845174" w:rsidP="005704BC">
      <w:r>
        <w:separator/>
      </w:r>
    </w:p>
  </w:endnote>
  <w:endnote w:type="continuationSeparator" w:id="1">
    <w:p w:rsidR="00845174" w:rsidRDefault="00845174" w:rsidP="0057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74" w:rsidRDefault="00845174" w:rsidP="005704BC">
      <w:r>
        <w:separator/>
      </w:r>
    </w:p>
  </w:footnote>
  <w:footnote w:type="continuationSeparator" w:id="1">
    <w:p w:rsidR="00845174" w:rsidRDefault="00845174" w:rsidP="00570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D83"/>
    <w:multiLevelType w:val="multilevel"/>
    <w:tmpl w:val="1FD69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F282A4B"/>
    <w:multiLevelType w:val="multilevel"/>
    <w:tmpl w:val="6B1E00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2"/>
      <w:numFmt w:val="decimal"/>
      <w:lvlText w:val="%1.%2."/>
      <w:lvlJc w:val="left"/>
      <w:pPr>
        <w:tabs>
          <w:tab w:val="num" w:pos="1320"/>
        </w:tabs>
        <w:ind w:left="1320" w:hanging="780"/>
      </w:p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7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8">
    <w:nsid w:val="538A2EFB"/>
    <w:multiLevelType w:val="multilevel"/>
    <w:tmpl w:val="38E2B3C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3"/>
      <w:numFmt w:val="decimal"/>
      <w:lvlText w:val="%1.%2."/>
      <w:lvlJc w:val="left"/>
      <w:pPr>
        <w:tabs>
          <w:tab w:val="num" w:pos="1432"/>
        </w:tabs>
        <w:ind w:left="1432" w:hanging="780"/>
      </w:pPr>
    </w:lvl>
    <w:lvl w:ilvl="2">
      <w:start w:val="1"/>
      <w:numFmt w:val="decimal"/>
      <w:lvlText w:val="%1.%2.%3."/>
      <w:lvlJc w:val="left"/>
      <w:pPr>
        <w:tabs>
          <w:tab w:val="num" w:pos="2084"/>
        </w:tabs>
        <w:ind w:left="2084" w:hanging="780"/>
      </w:pPr>
    </w:lvl>
    <w:lvl w:ilvl="3">
      <w:start w:val="1"/>
      <w:numFmt w:val="decimal"/>
      <w:lvlText w:val="%1.%2.%3.%4."/>
      <w:lvlJc w:val="left"/>
      <w:pPr>
        <w:tabs>
          <w:tab w:val="num" w:pos="3036"/>
        </w:tabs>
        <w:ind w:left="3036" w:hanging="1080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688" w:hanging="1080"/>
      </w:p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64"/>
        </w:tabs>
        <w:ind w:left="63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2160"/>
      </w:pPr>
    </w:lvl>
  </w:abstractNum>
  <w:abstractNum w:abstractNumId="9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813861"/>
    <w:multiLevelType w:val="hybridMultilevel"/>
    <w:tmpl w:val="1CC8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6"/>
  </w:num>
  <w:num w:numId="19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9F0"/>
    <w:rsid w:val="00091BF4"/>
    <w:rsid w:val="000C2322"/>
    <w:rsid w:val="000D2537"/>
    <w:rsid w:val="000D28CD"/>
    <w:rsid w:val="00163A6A"/>
    <w:rsid w:val="00163BA5"/>
    <w:rsid w:val="001835AD"/>
    <w:rsid w:val="001D6BED"/>
    <w:rsid w:val="00250965"/>
    <w:rsid w:val="00270718"/>
    <w:rsid w:val="002A0073"/>
    <w:rsid w:val="002C0A11"/>
    <w:rsid w:val="002C6113"/>
    <w:rsid w:val="002D5BBB"/>
    <w:rsid w:val="002E2102"/>
    <w:rsid w:val="002E27BC"/>
    <w:rsid w:val="003039F0"/>
    <w:rsid w:val="00314FA1"/>
    <w:rsid w:val="003D4F83"/>
    <w:rsid w:val="003F6FEB"/>
    <w:rsid w:val="004376E3"/>
    <w:rsid w:val="004543BC"/>
    <w:rsid w:val="0048703F"/>
    <w:rsid w:val="00487F5C"/>
    <w:rsid w:val="004B0984"/>
    <w:rsid w:val="004B1AB1"/>
    <w:rsid w:val="0051233A"/>
    <w:rsid w:val="00543137"/>
    <w:rsid w:val="00562141"/>
    <w:rsid w:val="005704BC"/>
    <w:rsid w:val="005705C6"/>
    <w:rsid w:val="005728DF"/>
    <w:rsid w:val="00575E44"/>
    <w:rsid w:val="005A5C4A"/>
    <w:rsid w:val="005C07B2"/>
    <w:rsid w:val="005D4C3E"/>
    <w:rsid w:val="005D59A5"/>
    <w:rsid w:val="005E3C82"/>
    <w:rsid w:val="00605BDA"/>
    <w:rsid w:val="0063724F"/>
    <w:rsid w:val="00637C56"/>
    <w:rsid w:val="0067207A"/>
    <w:rsid w:val="006A124F"/>
    <w:rsid w:val="006C389C"/>
    <w:rsid w:val="006E5942"/>
    <w:rsid w:val="0073696A"/>
    <w:rsid w:val="0074161C"/>
    <w:rsid w:val="00785782"/>
    <w:rsid w:val="0081653F"/>
    <w:rsid w:val="0084215F"/>
    <w:rsid w:val="00845174"/>
    <w:rsid w:val="0087321C"/>
    <w:rsid w:val="00890B7A"/>
    <w:rsid w:val="00961EC9"/>
    <w:rsid w:val="00985D62"/>
    <w:rsid w:val="00993479"/>
    <w:rsid w:val="009E6BD4"/>
    <w:rsid w:val="00A0000D"/>
    <w:rsid w:val="00A376CF"/>
    <w:rsid w:val="00A528C8"/>
    <w:rsid w:val="00A65938"/>
    <w:rsid w:val="00A70A3F"/>
    <w:rsid w:val="00AC6782"/>
    <w:rsid w:val="00B0216B"/>
    <w:rsid w:val="00B141DF"/>
    <w:rsid w:val="00B85DCF"/>
    <w:rsid w:val="00BA77FF"/>
    <w:rsid w:val="00BB2F18"/>
    <w:rsid w:val="00C10253"/>
    <w:rsid w:val="00C561E8"/>
    <w:rsid w:val="00C704BC"/>
    <w:rsid w:val="00C95974"/>
    <w:rsid w:val="00CB2433"/>
    <w:rsid w:val="00CB30C8"/>
    <w:rsid w:val="00CF0301"/>
    <w:rsid w:val="00CF4020"/>
    <w:rsid w:val="00D12BE3"/>
    <w:rsid w:val="00D77330"/>
    <w:rsid w:val="00DA13F3"/>
    <w:rsid w:val="00DB2D00"/>
    <w:rsid w:val="00DC6173"/>
    <w:rsid w:val="00DE7BDB"/>
    <w:rsid w:val="00E01F96"/>
    <w:rsid w:val="00E06F2E"/>
    <w:rsid w:val="00E6774A"/>
    <w:rsid w:val="00E7738C"/>
    <w:rsid w:val="00E9224E"/>
    <w:rsid w:val="00E93786"/>
    <w:rsid w:val="00EB30BE"/>
    <w:rsid w:val="00EC7B3F"/>
    <w:rsid w:val="00EE69CE"/>
    <w:rsid w:val="00F55FF7"/>
    <w:rsid w:val="00FC3EE2"/>
    <w:rsid w:val="00FF17B5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7F5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7F5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7F5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7F5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7F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C7B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C7B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C7B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7B3F"/>
    <w:rPr>
      <w:rFonts w:ascii="Arial" w:eastAsia="Times New Roman" w:hAnsi="Arial"/>
      <w:b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06F2E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06F2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5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87F5C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5704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5704B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04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5704BC"/>
    <w:rPr>
      <w:sz w:val="22"/>
      <w:szCs w:val="22"/>
      <w:lang w:eastAsia="en-US"/>
    </w:rPr>
  </w:style>
  <w:style w:type="character" w:styleId="HTML">
    <w:name w:val="HTML Variable"/>
    <w:aliases w:val="!Ссылки в документе"/>
    <w:rsid w:val="00487F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487F5C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EC7B3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87F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7F5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7F5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7F5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9E6BD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63724F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63724F"/>
    <w:rPr>
      <w:rFonts w:ascii="Calibri" w:eastAsia="Calibri" w:hAnsi="Calibri" w:cs="Times New Roman"/>
      <w:lang w:eastAsia="en-US"/>
    </w:rPr>
  </w:style>
  <w:style w:type="character" w:styleId="af0">
    <w:name w:val="footnote reference"/>
    <w:uiPriority w:val="99"/>
    <w:semiHidden/>
    <w:unhideWhenUsed/>
    <w:rsid w:val="0063724F"/>
    <w:rPr>
      <w:vertAlign w:val="superscript"/>
    </w:rPr>
  </w:style>
  <w:style w:type="character" w:styleId="af1">
    <w:name w:val="FollowedHyperlink"/>
    <w:uiPriority w:val="99"/>
    <w:semiHidden/>
    <w:unhideWhenUsed/>
    <w:rsid w:val="006E5942"/>
    <w:rPr>
      <w:color w:val="800080"/>
      <w:u w:val="single"/>
    </w:rPr>
  </w:style>
  <w:style w:type="paragraph" w:styleId="af2">
    <w:name w:val="Title"/>
    <w:basedOn w:val="a"/>
    <w:link w:val="af3"/>
    <w:uiPriority w:val="99"/>
    <w:qFormat/>
    <w:rsid w:val="006E5942"/>
    <w:pPr>
      <w:spacing w:line="360" w:lineRule="auto"/>
      <w:jc w:val="center"/>
    </w:pPr>
    <w:rPr>
      <w:rFonts w:ascii="Times New Roman" w:hAnsi="Times New Roman"/>
      <w:b/>
      <w:bCs/>
    </w:rPr>
  </w:style>
  <w:style w:type="character" w:customStyle="1" w:styleId="af3">
    <w:name w:val="Название Знак"/>
    <w:link w:val="af2"/>
    <w:uiPriority w:val="99"/>
    <w:rsid w:val="006E5942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6E5942"/>
    <w:rPr>
      <w:sz w:val="28"/>
      <w:szCs w:val="20"/>
    </w:rPr>
  </w:style>
  <w:style w:type="character" w:customStyle="1" w:styleId="af5">
    <w:name w:val="Основной текст Знак"/>
    <w:link w:val="af4"/>
    <w:uiPriority w:val="99"/>
    <w:semiHidden/>
    <w:rsid w:val="006E5942"/>
    <w:rPr>
      <w:rFonts w:ascii="Arial" w:eastAsia="Times New Roman" w:hAnsi="Arial"/>
      <w:sz w:val="28"/>
    </w:rPr>
  </w:style>
  <w:style w:type="paragraph" w:styleId="af6">
    <w:name w:val="Subtitle"/>
    <w:basedOn w:val="a"/>
    <w:link w:val="af7"/>
    <w:uiPriority w:val="99"/>
    <w:qFormat/>
    <w:rsid w:val="006E5942"/>
    <w:pPr>
      <w:spacing w:line="360" w:lineRule="auto"/>
      <w:jc w:val="center"/>
    </w:pPr>
    <w:rPr>
      <w:rFonts w:ascii="Times New Roman" w:hAnsi="Times New Roman"/>
      <w:b/>
      <w:bCs/>
    </w:rPr>
  </w:style>
  <w:style w:type="character" w:customStyle="1" w:styleId="af7">
    <w:name w:val="Подзаголовок Знак"/>
    <w:link w:val="af6"/>
    <w:uiPriority w:val="99"/>
    <w:rsid w:val="006E5942"/>
    <w:rPr>
      <w:rFonts w:ascii="Times New Roman" w:eastAsia="Times New Roman" w:hAnsi="Times New Roman"/>
      <w:b/>
      <w:bCs/>
      <w:sz w:val="24"/>
      <w:szCs w:val="24"/>
    </w:rPr>
  </w:style>
  <w:style w:type="paragraph" w:styleId="af8">
    <w:name w:val="No Spacing"/>
    <w:uiPriority w:val="99"/>
    <w:qFormat/>
    <w:rsid w:val="006E5942"/>
    <w:pPr>
      <w:suppressAutoHyphens/>
    </w:pPr>
    <w:rPr>
      <w:rFonts w:ascii="Times New Roman" w:eastAsia="Times New Roman" w:hAnsi="Times New Roman"/>
      <w:sz w:val="28"/>
      <w:lang w:eastAsia="ar-SA"/>
    </w:rPr>
  </w:style>
  <w:style w:type="character" w:customStyle="1" w:styleId="ConsPlusNormal">
    <w:name w:val="ConsPlusNormal Знак"/>
    <w:link w:val="ConsPlusNormal0"/>
    <w:locked/>
    <w:rsid w:val="006E5942"/>
    <w:rPr>
      <w:rFonts w:ascii="Arial" w:hAnsi="Arial" w:cs="Arial"/>
      <w:lang w:val="ru-RU" w:eastAsia="ar-SA" w:bidi="ar-SA"/>
    </w:rPr>
  </w:style>
  <w:style w:type="paragraph" w:customStyle="1" w:styleId="ConsPlusNormal0">
    <w:name w:val="ConsPlusNormal"/>
    <w:next w:val="a"/>
    <w:link w:val="ConsPlusNormal"/>
    <w:rsid w:val="006E594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6E59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E59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E594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Таблицы (моноширинный)"/>
    <w:basedOn w:val="a"/>
    <w:next w:val="a"/>
    <w:uiPriority w:val="99"/>
    <w:rsid w:val="006E594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Название Знак1"/>
    <w:uiPriority w:val="10"/>
    <w:rsid w:val="006E594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2">
    <w:name w:val="Подзаголовок Знак1"/>
    <w:uiPriority w:val="11"/>
    <w:rsid w:val="006E594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487F5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4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8466-B4C0-40C4-BD21-AF272051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</TotalTime>
  <Pages>1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39173</CharactersWithSpaces>
  <SharedDoc>false</SharedDoc>
  <HLinks>
    <vt:vector size="60" baseType="variant"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3539042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consultantplus://offline/ref=A3BD778108631A56AC0E007EFF084FA09E50A2EF6EA6114CB659A01D4CD3207E7FD9619915609E626267417CF6D52BFDE898074B5ACB59E6WACDJ</vt:lpwstr>
      </vt:variant>
      <vt:variant>
        <vt:lpwstr/>
      </vt:variant>
      <vt:variant>
        <vt:i4>6029317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consultantplus://offline/ref=A3BD778108631A56AC0E007EFF084FA09E50A2EF6EA6114CB659A01D4CD3207E7FD9619A1C60963337284020B28838FCE198044A46WCCBJ</vt:lpwstr>
      </vt:variant>
      <vt:variant>
        <vt:lpwstr/>
      </vt:variant>
      <vt:variant>
        <vt:i4>3539042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consultantplus://offline/ref=A3BD778108631A56AC0E007EFF084FA09E50A2EF6EA6114CB659A01D4CD3207E7FD9619915609E626267417CF6D52BFDE898074B5ACB59E6WACDJ</vt:lpwstr>
      </vt:variant>
      <vt:variant>
        <vt:lpwstr/>
      </vt:variant>
      <vt:variant>
        <vt:i4>3539042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consultantplus://offline/ref=A3BD778108631A56AC0E007EFF084FA09E50A2EF6EA6114CB659A01D4CD3207E7FD9619915609E626267417CF6D52BFDE898074B5ACB59E6WACDJ</vt:lpwstr>
      </vt:variant>
      <vt:variant>
        <vt:lpwstr/>
      </vt:variant>
      <vt:variant>
        <vt:i4>3539042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consultantplus://offline/ref=A3BD778108631A56AC0E007EFF084FA09E50A2EF6EA6114CB659A01D4CD3207E7FD9619915609E626267417CF6D52BFDE898074B5ACB59E6WACDJ</vt:lpwstr>
      </vt:variant>
      <vt:variant>
        <vt:lpwstr/>
      </vt:variant>
      <vt:variant>
        <vt:i4>3539042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consultantplus://offline/ref=A3BD778108631A56AC0E007EFF084FA09E50A2EF6EA6114CB659A01D4CD3207E7FD9619915609E626267417CF6D52BFDE898074B5ACB59E6WACDJ</vt:lpwstr>
      </vt:variant>
      <vt:variant>
        <vt:lpwstr/>
      </vt:variant>
      <vt:variant>
        <vt:i4>6029395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consultantplus://offline/ref=A3BD778108631A56AC0E007EFF084FA09E50A2EF6EA6114CB659A01D4CD3207E7FD9619A1164963337284020B28838FCE198044A46WCCBJ</vt:lpwstr>
      </vt:variant>
      <vt:variant>
        <vt:lpwstr/>
      </vt:variant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consultantplus://offline/ref=A3BD778108631A56AC0E007EFF084FA09E50A2EF6EA6114CB659A01D4CD3207E7FD9619915609E626467417CF6D52BFDE898074B5ACB59E6WACDJ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cp:lastModifiedBy>Нина</cp:lastModifiedBy>
  <cp:revision>9</cp:revision>
  <cp:lastPrinted>2023-07-12T09:17:00Z</cp:lastPrinted>
  <dcterms:created xsi:type="dcterms:W3CDTF">2023-07-07T08:34:00Z</dcterms:created>
  <dcterms:modified xsi:type="dcterms:W3CDTF">2023-07-12T09:24:00Z</dcterms:modified>
</cp:coreProperties>
</file>