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61" w:rsidRPr="00B20F61" w:rsidRDefault="00BB3BB3" w:rsidP="00DE009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0091">
        <w:rPr>
          <w:rFonts w:ascii="Times New Roman" w:hAnsi="Times New Roman"/>
          <w:sz w:val="28"/>
          <w:szCs w:val="28"/>
        </w:rPr>
        <w:t xml:space="preserve">                     </w:t>
      </w:r>
      <w:r w:rsidR="00B20F61" w:rsidRPr="00B20F61">
        <w:rPr>
          <w:rFonts w:ascii="Times New Roman" w:hAnsi="Times New Roman"/>
          <w:sz w:val="24"/>
          <w:szCs w:val="24"/>
        </w:rPr>
        <w:t xml:space="preserve">ПРОЕКТ            </w:t>
      </w:r>
    </w:p>
    <w:p w:rsidR="00B20F61" w:rsidRPr="00B20F61" w:rsidRDefault="00B20F61" w:rsidP="00B20F61">
      <w:pPr>
        <w:spacing w:after="0" w:line="240" w:lineRule="auto"/>
        <w:ind w:right="4142"/>
        <w:jc w:val="center"/>
        <w:rPr>
          <w:rFonts w:ascii="Times New Roman" w:hAnsi="Times New Roman"/>
          <w:sz w:val="24"/>
          <w:szCs w:val="24"/>
        </w:rPr>
      </w:pPr>
    </w:p>
    <w:p w:rsidR="00B20F61" w:rsidRPr="00B20F61" w:rsidRDefault="00B20F61" w:rsidP="00B20F61">
      <w:pPr>
        <w:spacing w:after="0" w:line="240" w:lineRule="auto"/>
        <w:ind w:right="4142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20F6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5.25pt;visibility:visible">
            <v:imagedata r:id="rId8" o:title=""/>
          </v:shape>
        </w:pict>
      </w:r>
      <w:r w:rsidRPr="00B20F6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Российская Федерация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Брянская область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Климовский район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 xml:space="preserve">Новоюрковичская сельская администрация </w:t>
      </w: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F61" w:rsidRPr="00B20F61" w:rsidRDefault="00B20F61" w:rsidP="00B2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>ПОСТАНОВЛЕНИЕ</w:t>
      </w:r>
    </w:p>
    <w:p w:rsidR="00B20F61" w:rsidRPr="00B20F61" w:rsidRDefault="00B20F61" w:rsidP="00B20F61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61" w:rsidRPr="00B20F61" w:rsidRDefault="00B20F61" w:rsidP="00B20F61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F61">
        <w:rPr>
          <w:rFonts w:ascii="Times New Roman" w:hAnsi="Times New Roman"/>
          <w:sz w:val="24"/>
          <w:szCs w:val="24"/>
        </w:rPr>
        <w:t xml:space="preserve">от «   » </w:t>
      </w:r>
      <w:r w:rsidR="008E5117">
        <w:rPr>
          <w:rFonts w:ascii="Times New Roman" w:hAnsi="Times New Roman"/>
          <w:sz w:val="24"/>
          <w:szCs w:val="24"/>
        </w:rPr>
        <w:t>июня</w:t>
      </w:r>
      <w:r w:rsidRPr="00B20F61">
        <w:rPr>
          <w:rFonts w:ascii="Times New Roman" w:hAnsi="Times New Roman"/>
          <w:sz w:val="24"/>
          <w:szCs w:val="24"/>
        </w:rPr>
        <w:t xml:space="preserve"> 2021 г.                                          №  </w:t>
      </w:r>
    </w:p>
    <w:p w:rsidR="00BB3BB3" w:rsidRPr="00814E36" w:rsidRDefault="00BB3BB3" w:rsidP="00FF0715">
      <w:pPr>
        <w:shd w:val="clear" w:color="auto" w:fill="FFFFFF"/>
        <w:spacing w:after="0" w:line="240" w:lineRule="auto"/>
        <w:ind w:right="5491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Об   утверждении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Муниципальной</w:t>
      </w:r>
      <w:proofErr w:type="gramEnd"/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целевой программы</w:t>
      </w:r>
      <w:r w:rsidR="008E5117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«Энергосбережение 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и повышение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энергетической</w:t>
      </w:r>
      <w:proofErr w:type="gramEnd"/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эффективности на территории  </w:t>
      </w:r>
    </w:p>
    <w:p w:rsidR="00BB3BB3" w:rsidRPr="000760F5" w:rsidRDefault="008E5117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 w:rsidR="00BB3BB3">
        <w:rPr>
          <w:rFonts w:ascii="Times New Roman" w:hAnsi="Times New Roman"/>
          <w:sz w:val="28"/>
          <w:szCs w:val="28"/>
        </w:rPr>
        <w:t xml:space="preserve">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поселения на 2021-2023 годы»</w:t>
      </w:r>
    </w:p>
    <w:p w:rsidR="008E5117" w:rsidRDefault="008E5117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 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 </w:t>
      </w:r>
      <w:proofErr w:type="gramStart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и о внесении изменений в отдельные законодательные акты Российской Федерации»,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ПОСТАНОВЛЯЮ: </w:t>
      </w:r>
    </w:p>
    <w:p w:rsidR="00DE0091" w:rsidRDefault="00BB3BB3" w:rsidP="00DE0091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   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  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1.Утвердить Муниципальную целевую программу «Энергосбережение и повышение энергетической эффективности на территории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>сельского поселения на 2021-2023 годы, (далее – Программа), (прилагается).</w:t>
      </w:r>
    </w:p>
    <w:p w:rsidR="00DE0091" w:rsidRDefault="00DE0091" w:rsidP="00DE0091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2. </w:t>
      </w:r>
      <w:r w:rsidRPr="00DE0091">
        <w:rPr>
          <w:rStyle w:val="ae"/>
          <w:rFonts w:ascii="Times New Roman" w:hAnsi="Times New Roman"/>
          <w:b w:val="0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DE0091">
        <w:rPr>
          <w:rStyle w:val="ae"/>
          <w:rFonts w:ascii="Times New Roman" w:hAnsi="Times New Roman"/>
          <w:b w:val="0"/>
          <w:sz w:val="28"/>
          <w:szCs w:val="28"/>
        </w:rPr>
        <w:t>Новоюрковичского</w:t>
      </w:r>
      <w:proofErr w:type="spellEnd"/>
      <w:r w:rsidRPr="00DE0091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 Климовского района   Брянской области в сети «Интернет» http: urkovichi.ru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      </w:t>
      </w:r>
    </w:p>
    <w:p w:rsidR="00BB3BB3" w:rsidRPr="000760F5" w:rsidRDefault="00DE0091" w:rsidP="00DE0091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</w:t>
      </w:r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3.  </w:t>
      </w:r>
      <w:proofErr w:type="gramStart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BB3BB3"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исполнением постановления  оставляю за собой.</w:t>
      </w:r>
    </w:p>
    <w:p w:rsidR="00DE0091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Глава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Новоюрковичской </w:t>
      </w:r>
    </w:p>
    <w:p w:rsidR="00BB3BB3" w:rsidRPr="000760F5" w:rsidRDefault="00DE0091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сельской администрации</w:t>
      </w:r>
      <w:r w:rsidR="00BB3BB3">
        <w:rPr>
          <w:rStyle w:val="ae"/>
          <w:rFonts w:ascii="Times New Roman" w:hAnsi="Times New Roman"/>
          <w:b w:val="0"/>
          <w:sz w:val="28"/>
          <w:szCs w:val="28"/>
        </w:rPr>
        <w:tab/>
      </w:r>
      <w:r w:rsidR="00BB3BB3">
        <w:rPr>
          <w:rStyle w:val="ae"/>
          <w:rFonts w:ascii="Times New Roman" w:hAnsi="Times New Roman"/>
          <w:b w:val="0"/>
          <w:sz w:val="28"/>
          <w:szCs w:val="28"/>
        </w:rPr>
        <w:tab/>
      </w:r>
      <w:r w:rsidR="00BB3BB3">
        <w:rPr>
          <w:rStyle w:val="ae"/>
          <w:rFonts w:ascii="Times New Roman" w:hAnsi="Times New Roman"/>
          <w:b w:val="0"/>
          <w:sz w:val="28"/>
          <w:szCs w:val="28"/>
        </w:rPr>
        <w:tab/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Н.П. Прокопенко</w:t>
      </w:r>
    </w:p>
    <w:p w:rsidR="00BB3BB3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</w:p>
    <w:p w:rsidR="00BB3BB3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</w:p>
    <w:p w:rsidR="00BB3BB3" w:rsidRPr="000760F5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Утверждена</w:t>
      </w:r>
    </w:p>
    <w:p w:rsidR="00BB3BB3" w:rsidRDefault="00BB3BB3" w:rsidP="00C00F1C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                                           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>          </w:t>
      </w:r>
      <w:r>
        <w:rPr>
          <w:rStyle w:val="ae"/>
          <w:rFonts w:ascii="Times New Roman" w:hAnsi="Times New Roman"/>
          <w:b w:val="0"/>
          <w:sz w:val="28"/>
          <w:szCs w:val="28"/>
        </w:rPr>
        <w:t>п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>остановлением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</w:p>
    <w:p w:rsidR="00BB3BB3" w:rsidRPr="000760F5" w:rsidRDefault="00BB3BB3" w:rsidP="00DE0091">
      <w:pPr>
        <w:shd w:val="clear" w:color="auto" w:fill="FFFFFF"/>
        <w:spacing w:after="0" w:line="240" w:lineRule="auto"/>
        <w:ind w:left="708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8E5117">
        <w:rPr>
          <w:rStyle w:val="ae"/>
          <w:rFonts w:ascii="Times New Roman" w:hAnsi="Times New Roman"/>
          <w:b w:val="0"/>
          <w:sz w:val="28"/>
          <w:szCs w:val="28"/>
        </w:rPr>
        <w:t>Новоюрковичской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сельской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DE0091" w:rsidRDefault="00BB3BB3" w:rsidP="003E038D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                                                                                  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             </w:t>
      </w:r>
      <w:r w:rsidR="00DE0091">
        <w:rPr>
          <w:rStyle w:val="ae"/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 </w:t>
      </w:r>
    </w:p>
    <w:p w:rsidR="00BB3BB3" w:rsidRPr="000760F5" w:rsidRDefault="00DE0091" w:rsidP="00DE0091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   от  « » июня 2021 №                                                                 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Муниципальная целевая программа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«Энергосбережение  и повышение энергетической эффективности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на 2021-2023 годы»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ПАСПОРТ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4"/>
        <w:gridCol w:w="6994"/>
      </w:tblGrid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 w:rsidP="00DE0091">
            <w:pPr>
              <w:spacing w:after="0" w:line="240" w:lineRule="auto"/>
              <w:ind w:right="367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  <w:r w:rsidR="00DE009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E5117">
              <w:rPr>
                <w:rFonts w:ascii="Times New Roman" w:hAnsi="Times New Roman"/>
                <w:sz w:val="28"/>
                <w:szCs w:val="28"/>
              </w:rPr>
              <w:t>Новоюрковичского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на 2021-2023годы».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Основание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для</w:t>
            </w:r>
            <w:proofErr w:type="gramEnd"/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разработки Программы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Муниципальное образование «</w:t>
            </w:r>
            <w:proofErr w:type="spellStart"/>
            <w:r w:rsidR="00DE0091">
              <w:rPr>
                <w:rFonts w:ascii="Times New Roman" w:hAnsi="Times New Roman"/>
                <w:sz w:val="28"/>
                <w:szCs w:val="28"/>
              </w:rPr>
              <w:t>Новоюрковичское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Разработчики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DE009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Новоюрковичская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 сельская администрация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Цели и задачи Программы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Задачи Программы:</w:t>
            </w:r>
          </w:p>
          <w:p w:rsidR="00BB3BB3" w:rsidRPr="00172B42" w:rsidRDefault="00BB3BB3">
            <w:pPr>
              <w:spacing w:after="0" w:line="240" w:lineRule="auto"/>
              <w:ind w:right="225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повышение эффективности системы теплоснабжения;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Сроки реализации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2021-2023 годы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 w:rsidP="00C74026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proofErr w:type="spellStart"/>
            <w:r w:rsidR="008E5117">
              <w:rPr>
                <w:rFonts w:ascii="Times New Roman" w:hAnsi="Times New Roman"/>
                <w:sz w:val="28"/>
                <w:szCs w:val="28"/>
              </w:rPr>
              <w:t>Новоюрковичского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составляет </w:t>
            </w:r>
            <w:r w:rsidR="000A26D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90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тыс. руб.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- наличие актов энергетических обследований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2944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Контроль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</w:t>
            </w:r>
            <w:proofErr w:type="gramEnd"/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выполнением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994" w:type="dxa"/>
            <w:shd w:val="clear" w:color="auto" w:fill="FFFFFF"/>
          </w:tcPr>
          <w:p w:rsidR="00BB3BB3" w:rsidRPr="00172B42" w:rsidRDefault="00DE0091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Новоюрковичская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 сельская администрация</w:t>
            </w:r>
          </w:p>
        </w:tc>
      </w:tr>
    </w:tbl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Введение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lastRenderedPageBreak/>
        <w:t>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Факторы, влияющие на процессы энергосбережения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="00DE0091">
        <w:rPr>
          <w:rFonts w:ascii="Times New Roman" w:hAnsi="Times New Roman"/>
          <w:sz w:val="28"/>
          <w:szCs w:val="28"/>
        </w:rPr>
        <w:t>Новоюрковичском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сельском поселении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Факторы, стимулирующие процессы энергосбережения: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рост стоимости энергоресурсов;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повышение качества эксплуатации жилищного фонда.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Цель энергосбережения - это повышение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энергоэффективности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во всех отраслях на территории поселения.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Задача </w:t>
      </w:r>
      <w:r w:rsidR="008E5117">
        <w:rPr>
          <w:rFonts w:ascii="Times New Roman" w:hAnsi="Times New Roman"/>
          <w:sz w:val="28"/>
          <w:szCs w:val="28"/>
        </w:rPr>
        <w:t>Новоюрковичской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 сельской администрации - определить, какими мерами необходимо осуществить повышение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энергоэффективности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>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Основные направления энергосбережения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экономичной системы</w:t>
      </w:r>
      <w:proofErr w:type="gramEnd"/>
      <w:r w:rsidRPr="000760F5">
        <w:rPr>
          <w:rStyle w:val="ae"/>
          <w:rFonts w:ascii="Times New Roman" w:hAnsi="Times New Roman"/>
          <w:b w:val="0"/>
          <w:sz w:val="28"/>
          <w:szCs w:val="28"/>
        </w:rPr>
        <w:t>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в муниципальных учреждениях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 - обеспечить проведение энергетических обследований;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lastRenderedPageBreak/>
        <w:t>- автоматизировать потребление тепловой энергии зданиями, строениями, сооружениями;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энергосервисных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контрактов.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Энергосбережение в жилых домах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   Общая площадь жилого фонда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на 01.01.2021 г. составляет </w:t>
      </w:r>
      <w:r w:rsidR="000A26D1">
        <w:rPr>
          <w:rStyle w:val="ae"/>
          <w:rFonts w:ascii="Times New Roman" w:hAnsi="Times New Roman"/>
          <w:b w:val="0"/>
          <w:sz w:val="28"/>
          <w:szCs w:val="28"/>
        </w:rPr>
        <w:t>35,3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тыс.кв.м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., в муниципальной собственности жилищного фонда имеется  </w:t>
      </w:r>
      <w:r w:rsidR="000A26D1">
        <w:rPr>
          <w:rStyle w:val="ae"/>
          <w:rFonts w:ascii="Times New Roman" w:hAnsi="Times New Roman"/>
          <w:b w:val="0"/>
          <w:sz w:val="28"/>
          <w:szCs w:val="28"/>
        </w:rPr>
        <w:t>0,0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тыс.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кв.м</w:t>
      </w:r>
      <w:proofErr w:type="spellEnd"/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..</w:t>
      </w:r>
      <w:proofErr w:type="gramEnd"/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проведение энергосберегающих мероприятий (проведение энергетических обследований,  оснащение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Система коммунальной инфраструктуры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Организационные мероприятия по энергосбережению и повышению энергетической эффективности системы коммунальной инфраструктуры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включают в себя: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 проведение энергетического аудита;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lastRenderedPageBreak/>
        <w:t>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 Муниципальные закупки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- Отказ от закупок товаров для муниципальных нужд, имеющих </w:t>
      </w:r>
      <w:proofErr w:type="gram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низкую</w:t>
      </w:r>
      <w:proofErr w:type="gram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энергоэффективность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- соблюдение запрета закупок для муниципальных нужд всех типов ламп накаливания мощностью 100 Вт и выше.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Ожидаемые результаты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 Программа энергосбережения обеспечит перевод на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энергоэффективные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пути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BB3BB3" w:rsidRPr="000760F5" w:rsidRDefault="00BB3BB3" w:rsidP="003E038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лимитирование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, оптимизация топливно - </w:t>
      </w:r>
      <w:proofErr w:type="spellStart"/>
      <w:r w:rsidRPr="000760F5">
        <w:rPr>
          <w:rStyle w:val="ae"/>
          <w:rFonts w:ascii="Times New Roman" w:hAnsi="Times New Roman"/>
          <w:b w:val="0"/>
          <w:sz w:val="28"/>
          <w:szCs w:val="28"/>
        </w:rPr>
        <w:t>энгергетического</w:t>
      </w:r>
      <w:proofErr w:type="spellEnd"/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ПЛАН МЕРОПРИЯТИЙ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по реализации Муниципальной целевой программы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BB3BB3" w:rsidRPr="000760F5" w:rsidRDefault="00BB3BB3" w:rsidP="003E038D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/>
          <w:b w:val="0"/>
          <w:sz w:val="28"/>
          <w:szCs w:val="28"/>
        </w:rPr>
      </w:pP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8E5117">
        <w:rPr>
          <w:rFonts w:ascii="Times New Roman" w:hAnsi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0F5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 поселения на 2021-2023 годы»</w:t>
      </w:r>
    </w:p>
    <w:tbl>
      <w:tblPr>
        <w:tblW w:w="12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3357"/>
        <w:gridCol w:w="2240"/>
        <w:gridCol w:w="2025"/>
        <w:gridCol w:w="1713"/>
        <w:gridCol w:w="2199"/>
      </w:tblGrid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Исполнители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Источник финансирования</w:t>
            </w:r>
          </w:p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Объёмы </w:t>
            </w: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финансовых</w:t>
            </w:r>
            <w:proofErr w:type="gramEnd"/>
          </w:p>
          <w:p w:rsidR="00BB3BB3" w:rsidRPr="00172B42" w:rsidRDefault="00BB3BB3" w:rsidP="00AE7B1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средств</w:t>
            </w:r>
          </w:p>
        </w:tc>
        <w:tc>
          <w:tcPr>
            <w:tcW w:w="2199" w:type="dxa"/>
            <w:vMerge w:val="restart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BB3BB3" w:rsidRPr="00172B42" w:rsidRDefault="00BB3BB3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Назначение ответственных лиц за энергосбережение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без финансовых 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энергоэффективные</w:t>
            </w:r>
            <w:proofErr w:type="spellEnd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 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A26D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Закупка и замена старых светильников уличного освещения на </w:t>
            </w:r>
            <w:proofErr w:type="spell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240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DE0091"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 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0A26D1" w:rsidP="00C74026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2</w:t>
            </w:r>
            <w:bookmarkStart w:id="0" w:name="_GoBack"/>
            <w:bookmarkEnd w:id="0"/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0 тыс. руб.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Промывка системы отопления в здании </w:t>
            </w:r>
            <w:proofErr w:type="spellStart"/>
            <w:r w:rsidR="008E5117">
              <w:rPr>
                <w:rFonts w:ascii="Times New Roman" w:hAnsi="Times New Roman"/>
                <w:sz w:val="28"/>
                <w:szCs w:val="28"/>
              </w:rPr>
              <w:t>Новоюрковичского</w:t>
            </w:r>
            <w:proofErr w:type="spellEnd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СДК</w:t>
            </w:r>
          </w:p>
        </w:tc>
        <w:tc>
          <w:tcPr>
            <w:tcW w:w="2240" w:type="dxa"/>
            <w:shd w:val="clear" w:color="auto" w:fill="FFFFFF"/>
          </w:tcPr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без финансовых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затрат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(собственным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и </w:t>
            </w:r>
            <w:proofErr w:type="gramEnd"/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силами)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BB3BB3" w:rsidRPr="00172B42" w:rsidRDefault="00DE0091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Новоюрковичская</w:t>
            </w:r>
            <w:r w:rsidR="00BB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BB3"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сельская администрация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местный бюджет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 без финансовых </w:t>
            </w:r>
          </w:p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B3BB3" w:rsidRPr="00172B42" w:rsidTr="00AE7B1F">
        <w:trPr>
          <w:tblCellSpacing w:w="0" w:type="dxa"/>
        </w:trPr>
        <w:tc>
          <w:tcPr>
            <w:tcW w:w="602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3358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shd w:val="clear" w:color="auto" w:fill="FFFFFF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 ИТОГО:</w:t>
            </w:r>
          </w:p>
        </w:tc>
        <w:tc>
          <w:tcPr>
            <w:tcW w:w="1713" w:type="dxa"/>
            <w:shd w:val="clear" w:color="auto" w:fill="FFFFFF"/>
          </w:tcPr>
          <w:p w:rsidR="00BB3BB3" w:rsidRPr="00172B42" w:rsidRDefault="00BB3BB3" w:rsidP="00C74026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37</w:t>
            </w:r>
            <w:r w:rsidRPr="00172B4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2199" w:type="dxa"/>
            <w:vMerge/>
            <w:vAlign w:val="center"/>
          </w:tcPr>
          <w:p w:rsidR="00BB3BB3" w:rsidRPr="00172B42" w:rsidRDefault="00BB3BB3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B3BB3" w:rsidRPr="00814E36" w:rsidRDefault="00BB3BB3" w:rsidP="00FF0715">
      <w:pPr>
        <w:spacing w:after="0" w:line="240" w:lineRule="auto"/>
        <w:rPr>
          <w:rFonts w:ascii="Times New Roman" w:hAnsi="Times New Roman"/>
          <w:bCs/>
        </w:rPr>
      </w:pPr>
    </w:p>
    <w:sectPr w:rsidR="00BB3BB3" w:rsidRPr="00814E36" w:rsidSect="00DE0091">
      <w:pgSz w:w="11906" w:h="16838"/>
      <w:pgMar w:top="142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D0" w:rsidRDefault="00B332D0" w:rsidP="008F0442">
      <w:pPr>
        <w:spacing w:after="0" w:line="240" w:lineRule="auto"/>
      </w:pPr>
      <w:r>
        <w:separator/>
      </w:r>
    </w:p>
  </w:endnote>
  <w:endnote w:type="continuationSeparator" w:id="0">
    <w:p w:rsidR="00B332D0" w:rsidRDefault="00B332D0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D0" w:rsidRDefault="00B332D0" w:rsidP="008F0442">
      <w:pPr>
        <w:spacing w:after="0" w:line="240" w:lineRule="auto"/>
      </w:pPr>
      <w:r>
        <w:separator/>
      </w:r>
    </w:p>
  </w:footnote>
  <w:footnote w:type="continuationSeparator" w:id="0">
    <w:p w:rsidR="00B332D0" w:rsidRDefault="00B332D0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C49"/>
    <w:multiLevelType w:val="hybridMultilevel"/>
    <w:tmpl w:val="1716FBBC"/>
    <w:lvl w:ilvl="0" w:tplc="F95015E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2C2"/>
    <w:rsid w:val="00006548"/>
    <w:rsid w:val="00007193"/>
    <w:rsid w:val="00016DAF"/>
    <w:rsid w:val="00023091"/>
    <w:rsid w:val="00032AE5"/>
    <w:rsid w:val="00060255"/>
    <w:rsid w:val="00072FAE"/>
    <w:rsid w:val="00073CF9"/>
    <w:rsid w:val="000760F5"/>
    <w:rsid w:val="000972CA"/>
    <w:rsid w:val="000A26D1"/>
    <w:rsid w:val="000A7B44"/>
    <w:rsid w:val="000D4C28"/>
    <w:rsid w:val="000E204C"/>
    <w:rsid w:val="0011520B"/>
    <w:rsid w:val="00120BD8"/>
    <w:rsid w:val="00146437"/>
    <w:rsid w:val="00163F8E"/>
    <w:rsid w:val="00164BD4"/>
    <w:rsid w:val="00172B42"/>
    <w:rsid w:val="0018357B"/>
    <w:rsid w:val="0018764D"/>
    <w:rsid w:val="00197D2A"/>
    <w:rsid w:val="001B7D19"/>
    <w:rsid w:val="001C6401"/>
    <w:rsid w:val="00217B11"/>
    <w:rsid w:val="0023073B"/>
    <w:rsid w:val="00230CCE"/>
    <w:rsid w:val="00237851"/>
    <w:rsid w:val="00255735"/>
    <w:rsid w:val="00264E49"/>
    <w:rsid w:val="00272F72"/>
    <w:rsid w:val="00277CF6"/>
    <w:rsid w:val="00277DFF"/>
    <w:rsid w:val="002A23E4"/>
    <w:rsid w:val="002A6C2A"/>
    <w:rsid w:val="002D096B"/>
    <w:rsid w:val="002D2BBF"/>
    <w:rsid w:val="00321B62"/>
    <w:rsid w:val="00323785"/>
    <w:rsid w:val="00353D85"/>
    <w:rsid w:val="00364E8E"/>
    <w:rsid w:val="00371FF4"/>
    <w:rsid w:val="003770DF"/>
    <w:rsid w:val="003A3B39"/>
    <w:rsid w:val="003B6568"/>
    <w:rsid w:val="003C4CE5"/>
    <w:rsid w:val="003D2CA0"/>
    <w:rsid w:val="003D5343"/>
    <w:rsid w:val="003E038D"/>
    <w:rsid w:val="003E11AC"/>
    <w:rsid w:val="003E2F41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91429"/>
    <w:rsid w:val="004A6A0D"/>
    <w:rsid w:val="004B3794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1B99"/>
    <w:rsid w:val="005B4D5B"/>
    <w:rsid w:val="005C4DD5"/>
    <w:rsid w:val="005F2DE1"/>
    <w:rsid w:val="00605320"/>
    <w:rsid w:val="00607343"/>
    <w:rsid w:val="0061169F"/>
    <w:rsid w:val="00611E7F"/>
    <w:rsid w:val="00624604"/>
    <w:rsid w:val="00626830"/>
    <w:rsid w:val="00662F07"/>
    <w:rsid w:val="006630BD"/>
    <w:rsid w:val="00665F07"/>
    <w:rsid w:val="00672119"/>
    <w:rsid w:val="0069680D"/>
    <w:rsid w:val="006A14B1"/>
    <w:rsid w:val="006C0386"/>
    <w:rsid w:val="006C27B2"/>
    <w:rsid w:val="006C3F6F"/>
    <w:rsid w:val="006F00DE"/>
    <w:rsid w:val="006F0D9B"/>
    <w:rsid w:val="006F1550"/>
    <w:rsid w:val="006F1E4E"/>
    <w:rsid w:val="006F3C68"/>
    <w:rsid w:val="00727E85"/>
    <w:rsid w:val="00755A66"/>
    <w:rsid w:val="00785300"/>
    <w:rsid w:val="007B69F9"/>
    <w:rsid w:val="007C1C06"/>
    <w:rsid w:val="007D5A12"/>
    <w:rsid w:val="008111C6"/>
    <w:rsid w:val="00814E36"/>
    <w:rsid w:val="0082523E"/>
    <w:rsid w:val="00841D6C"/>
    <w:rsid w:val="00842CF3"/>
    <w:rsid w:val="00852A17"/>
    <w:rsid w:val="008733C9"/>
    <w:rsid w:val="008877DE"/>
    <w:rsid w:val="00896EFB"/>
    <w:rsid w:val="00897204"/>
    <w:rsid w:val="008974C4"/>
    <w:rsid w:val="008B19FA"/>
    <w:rsid w:val="008C691B"/>
    <w:rsid w:val="008C7821"/>
    <w:rsid w:val="008E5117"/>
    <w:rsid w:val="008E5BE4"/>
    <w:rsid w:val="008F0442"/>
    <w:rsid w:val="00900519"/>
    <w:rsid w:val="009059AE"/>
    <w:rsid w:val="00924834"/>
    <w:rsid w:val="0095453D"/>
    <w:rsid w:val="00957621"/>
    <w:rsid w:val="0096747D"/>
    <w:rsid w:val="00974BA3"/>
    <w:rsid w:val="0098004C"/>
    <w:rsid w:val="00980F28"/>
    <w:rsid w:val="009818A5"/>
    <w:rsid w:val="00985F4B"/>
    <w:rsid w:val="009D25D0"/>
    <w:rsid w:val="009E06D3"/>
    <w:rsid w:val="00A05621"/>
    <w:rsid w:val="00A16D4A"/>
    <w:rsid w:val="00A431A6"/>
    <w:rsid w:val="00A60EE2"/>
    <w:rsid w:val="00A632C2"/>
    <w:rsid w:val="00A87CD8"/>
    <w:rsid w:val="00A87FC6"/>
    <w:rsid w:val="00AB346D"/>
    <w:rsid w:val="00AC2FA7"/>
    <w:rsid w:val="00AD1E10"/>
    <w:rsid w:val="00AD7793"/>
    <w:rsid w:val="00AE7B1F"/>
    <w:rsid w:val="00AE7C06"/>
    <w:rsid w:val="00AF5C00"/>
    <w:rsid w:val="00B07F7E"/>
    <w:rsid w:val="00B20F61"/>
    <w:rsid w:val="00B24A81"/>
    <w:rsid w:val="00B332D0"/>
    <w:rsid w:val="00B41670"/>
    <w:rsid w:val="00B438E3"/>
    <w:rsid w:val="00B55519"/>
    <w:rsid w:val="00B6199B"/>
    <w:rsid w:val="00B82CCD"/>
    <w:rsid w:val="00B93282"/>
    <w:rsid w:val="00BB3BB3"/>
    <w:rsid w:val="00BB5FC7"/>
    <w:rsid w:val="00BC7ED9"/>
    <w:rsid w:val="00BE31B4"/>
    <w:rsid w:val="00C00F1C"/>
    <w:rsid w:val="00C0226F"/>
    <w:rsid w:val="00C02B40"/>
    <w:rsid w:val="00C25794"/>
    <w:rsid w:val="00C31B56"/>
    <w:rsid w:val="00C55B44"/>
    <w:rsid w:val="00C62338"/>
    <w:rsid w:val="00C668A9"/>
    <w:rsid w:val="00C726B0"/>
    <w:rsid w:val="00C74026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457FA"/>
    <w:rsid w:val="00D6094D"/>
    <w:rsid w:val="00D77A58"/>
    <w:rsid w:val="00D86745"/>
    <w:rsid w:val="00D86FA9"/>
    <w:rsid w:val="00D9249C"/>
    <w:rsid w:val="00D945A6"/>
    <w:rsid w:val="00DB06B2"/>
    <w:rsid w:val="00DB1683"/>
    <w:rsid w:val="00DC449E"/>
    <w:rsid w:val="00DE0091"/>
    <w:rsid w:val="00DE1D23"/>
    <w:rsid w:val="00DF43BA"/>
    <w:rsid w:val="00E010F3"/>
    <w:rsid w:val="00E2030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73B0E"/>
    <w:rsid w:val="00E907CD"/>
    <w:rsid w:val="00EA6E52"/>
    <w:rsid w:val="00F100FA"/>
    <w:rsid w:val="00F144F2"/>
    <w:rsid w:val="00F14D79"/>
    <w:rsid w:val="00F1525C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3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632C2"/>
    <w:pPr>
      <w:ind w:left="720"/>
      <w:contextualSpacing/>
    </w:pPr>
  </w:style>
  <w:style w:type="paragraph" w:customStyle="1" w:styleId="ConsNormal">
    <w:name w:val="ConsNormal"/>
    <w:uiPriority w:val="99"/>
    <w:rsid w:val="00A16D4A"/>
    <w:pPr>
      <w:snapToGrid w:val="0"/>
      <w:ind w:firstLine="720"/>
    </w:pPr>
    <w:rPr>
      <w:rFonts w:ascii="Arial" w:hAnsi="Arial"/>
    </w:rPr>
  </w:style>
  <w:style w:type="character" w:styleId="a5">
    <w:name w:val="Hyperlink"/>
    <w:uiPriority w:val="99"/>
    <w:rsid w:val="00F42F8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61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60B80"/>
    <w:rPr>
      <w:sz w:val="22"/>
      <w:szCs w:val="22"/>
    </w:rPr>
  </w:style>
  <w:style w:type="paragraph" w:styleId="aa">
    <w:name w:val="header"/>
    <w:basedOn w:val="a"/>
    <w:link w:val="ab"/>
    <w:uiPriority w:val="99"/>
    <w:semiHidden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8F0442"/>
    <w:rPr>
      <w:rFonts w:cs="Times New Roman"/>
    </w:rPr>
  </w:style>
  <w:style w:type="paragraph" w:styleId="ac">
    <w:name w:val="footer"/>
    <w:basedOn w:val="a"/>
    <w:link w:val="ad"/>
    <w:uiPriority w:val="99"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8F0442"/>
    <w:rPr>
      <w:rFonts w:cs="Times New Roman"/>
    </w:rPr>
  </w:style>
  <w:style w:type="paragraph" w:customStyle="1" w:styleId="consplusnormal">
    <w:name w:val="consplusnormal"/>
    <w:basedOn w:val="a"/>
    <w:uiPriority w:val="99"/>
    <w:rsid w:val="008F0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8F0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99"/>
    <w:qFormat/>
    <w:rsid w:val="000760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</cp:lastModifiedBy>
  <cp:revision>12</cp:revision>
  <cp:lastPrinted>2021-06-11T08:42:00Z</cp:lastPrinted>
  <dcterms:created xsi:type="dcterms:W3CDTF">2021-01-19T06:43:00Z</dcterms:created>
  <dcterms:modified xsi:type="dcterms:W3CDTF">2021-06-11T09:03:00Z</dcterms:modified>
</cp:coreProperties>
</file>