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64" w:rsidRDefault="00987064" w:rsidP="00987064">
      <w:pPr>
        <w:pStyle w:val="Bodytext20"/>
        <w:keepNext/>
        <w:keepLines/>
        <w:shd w:val="clear" w:color="auto" w:fill="auto"/>
        <w:tabs>
          <w:tab w:val="left" w:pos="978"/>
        </w:tabs>
        <w:spacing w:line="312" w:lineRule="exact"/>
        <w:ind w:left="-142" w:firstLine="8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987064" w:rsidRDefault="00987064" w:rsidP="00987064">
      <w:pPr>
        <w:pStyle w:val="Bodytext20"/>
        <w:keepNext/>
        <w:keepLines/>
        <w:shd w:val="clear" w:color="auto" w:fill="auto"/>
        <w:tabs>
          <w:tab w:val="left" w:pos="978"/>
        </w:tabs>
        <w:spacing w:line="312" w:lineRule="exact"/>
        <w:ind w:left="-142" w:firstLine="8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ПУБЛИЧНЫХ СЛУШАНИЙ</w:t>
      </w:r>
    </w:p>
    <w:p w:rsidR="00987064" w:rsidRDefault="00987064" w:rsidP="00987064">
      <w:pPr>
        <w:pStyle w:val="Bodytext20"/>
        <w:shd w:val="clear" w:color="auto" w:fill="auto"/>
        <w:jc w:val="both"/>
        <w:rPr>
          <w:sz w:val="22"/>
          <w:szCs w:val="22"/>
        </w:rPr>
      </w:pPr>
    </w:p>
    <w:p w:rsidR="00987064" w:rsidRPr="006D6159" w:rsidRDefault="00987064" w:rsidP="00987064">
      <w:pPr>
        <w:pStyle w:val="Bodytext20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6D6159">
        <w:rPr>
          <w:sz w:val="22"/>
          <w:szCs w:val="22"/>
        </w:rPr>
        <w:t>02</w:t>
      </w:r>
      <w:r>
        <w:rPr>
          <w:sz w:val="22"/>
          <w:szCs w:val="22"/>
        </w:rPr>
        <w:t>»</w:t>
      </w:r>
      <w:r w:rsidRPr="006D6159">
        <w:rPr>
          <w:sz w:val="22"/>
          <w:szCs w:val="22"/>
        </w:rPr>
        <w:t xml:space="preserve"> декабря 2020г.</w:t>
      </w:r>
    </w:p>
    <w:p w:rsidR="00987064" w:rsidRDefault="00987064" w:rsidP="00987064">
      <w:pPr>
        <w:pStyle w:val="Bodytext20"/>
        <w:shd w:val="clear" w:color="auto" w:fill="auto"/>
        <w:ind w:firstLine="709"/>
        <w:jc w:val="both"/>
        <w:rPr>
          <w:b/>
          <w:sz w:val="22"/>
          <w:szCs w:val="22"/>
        </w:rPr>
      </w:pPr>
    </w:p>
    <w:p w:rsidR="00987064" w:rsidRPr="00B67867" w:rsidRDefault="00987064" w:rsidP="00987064">
      <w:pPr>
        <w:pStyle w:val="Bodytext20"/>
        <w:shd w:val="clear" w:color="auto" w:fill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B67867">
        <w:rPr>
          <w:b/>
          <w:sz w:val="22"/>
          <w:szCs w:val="22"/>
        </w:rPr>
        <w:t xml:space="preserve"> форме общественных слушаний</w:t>
      </w:r>
      <w:r>
        <w:rPr>
          <w:b/>
          <w:sz w:val="22"/>
          <w:szCs w:val="22"/>
        </w:rPr>
        <w:t xml:space="preserve"> </w:t>
      </w:r>
      <w:r w:rsidRPr="00B67867">
        <w:rPr>
          <w:b/>
          <w:sz w:val="22"/>
          <w:szCs w:val="22"/>
        </w:rPr>
        <w:t xml:space="preserve">по объекту государственной экологической экспертизы: </w:t>
      </w:r>
      <w:r>
        <w:rPr>
          <w:b/>
          <w:sz w:val="22"/>
          <w:szCs w:val="22"/>
        </w:rPr>
        <w:t>«Р</w:t>
      </w:r>
      <w:r w:rsidRPr="00B67867">
        <w:rPr>
          <w:b/>
          <w:sz w:val="22"/>
          <w:szCs w:val="22"/>
        </w:rPr>
        <w:t>екультиваци</w:t>
      </w:r>
      <w:r>
        <w:rPr>
          <w:b/>
          <w:sz w:val="22"/>
          <w:szCs w:val="22"/>
        </w:rPr>
        <w:t>я</w:t>
      </w:r>
      <w:r w:rsidRPr="00B67867">
        <w:rPr>
          <w:b/>
          <w:sz w:val="22"/>
          <w:szCs w:val="22"/>
        </w:rPr>
        <w:t xml:space="preserve"> объекта размещения отходов, расположенного </w:t>
      </w:r>
      <w:r w:rsidRPr="00FC78DF">
        <w:rPr>
          <w:b/>
          <w:sz w:val="22"/>
          <w:szCs w:val="22"/>
        </w:rPr>
        <w:t>вблизи</w:t>
      </w:r>
      <w:r w:rsidRPr="00B67867">
        <w:rPr>
          <w:b/>
          <w:sz w:val="22"/>
          <w:szCs w:val="22"/>
        </w:rPr>
        <w:t xml:space="preserve"> п. Товарково</w:t>
      </w:r>
      <w:r>
        <w:rPr>
          <w:b/>
          <w:sz w:val="22"/>
          <w:szCs w:val="22"/>
        </w:rPr>
        <w:t>»</w:t>
      </w:r>
      <w:r w:rsidRPr="00B67867">
        <w:rPr>
          <w:b/>
          <w:sz w:val="22"/>
          <w:szCs w:val="22"/>
        </w:rPr>
        <w:t>, включая техническое задание на проведение оценки воздействия на окружающую среду и материалы оценки воздействия на окружающую среду</w:t>
      </w:r>
    </w:p>
    <w:p w:rsidR="00987064" w:rsidRDefault="00987064" w:rsidP="00987064">
      <w:pPr>
        <w:pStyle w:val="Bodytext20"/>
        <w:shd w:val="clear" w:color="auto" w:fill="auto"/>
        <w:ind w:firstLine="709"/>
        <w:jc w:val="both"/>
        <w:rPr>
          <w:sz w:val="22"/>
          <w:szCs w:val="22"/>
        </w:rPr>
      </w:pPr>
    </w:p>
    <w:p w:rsidR="00987064" w:rsidRPr="00B67867" w:rsidRDefault="00987064" w:rsidP="00987064">
      <w:pPr>
        <w:pStyle w:val="Heading10"/>
        <w:keepNext/>
        <w:keepLines/>
        <w:shd w:val="clear" w:color="auto" w:fill="auto"/>
        <w:ind w:firstLine="740"/>
        <w:jc w:val="both"/>
        <w:rPr>
          <w:sz w:val="22"/>
          <w:szCs w:val="22"/>
        </w:rPr>
      </w:pPr>
      <w:bookmarkStart w:id="0" w:name="bookmark2"/>
      <w:r w:rsidRPr="00B67867">
        <w:rPr>
          <w:sz w:val="22"/>
          <w:szCs w:val="22"/>
        </w:rPr>
        <w:t>Повестка публичных обсуждений:</w:t>
      </w:r>
      <w:bookmarkEnd w:id="0"/>
    </w:p>
    <w:p w:rsidR="00987064" w:rsidRPr="00B67867" w:rsidRDefault="00987064" w:rsidP="00987064">
      <w:pPr>
        <w:pStyle w:val="Bodytext20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  <w:rPr>
          <w:sz w:val="22"/>
          <w:szCs w:val="22"/>
        </w:rPr>
      </w:pPr>
      <w:r w:rsidRPr="00B67867">
        <w:rPr>
          <w:sz w:val="22"/>
          <w:szCs w:val="22"/>
        </w:rPr>
        <w:t>информирование общественности о намечаемой хозяйственной деятельности и оценки воздействия проектируемого объекта на компоненты окружающей среды, здоровья населения прилегающей территории;</w:t>
      </w:r>
    </w:p>
    <w:p w:rsidR="00987064" w:rsidRDefault="00987064" w:rsidP="00987064">
      <w:pPr>
        <w:pStyle w:val="Bodytext20"/>
        <w:keepNext/>
        <w:keepLines/>
        <w:shd w:val="clear" w:color="auto" w:fill="auto"/>
        <w:tabs>
          <w:tab w:val="left" w:pos="978"/>
        </w:tabs>
        <w:spacing w:line="312" w:lineRule="exact"/>
        <w:ind w:firstLine="709"/>
        <w:jc w:val="both"/>
        <w:rPr>
          <w:sz w:val="22"/>
          <w:szCs w:val="22"/>
        </w:rPr>
      </w:pPr>
      <w:r w:rsidRPr="00B67867">
        <w:rPr>
          <w:sz w:val="22"/>
          <w:szCs w:val="22"/>
        </w:rPr>
        <w:t>- рассмотрение материалов оценки воздействия на окружающую среду проектно-сметная документация на рекультивацию объекта размещения отходов, расположенного в п. Товарково, включая техническое задание на проведение оценки воздействия на окружающую среду и материалы оценки воздействия на окружающую среду.</w:t>
      </w:r>
    </w:p>
    <w:p w:rsidR="00987064" w:rsidRPr="00E474BE" w:rsidRDefault="00987064" w:rsidP="00987064">
      <w:pPr>
        <w:pStyle w:val="ConsPlusNormal"/>
        <w:spacing w:after="120"/>
        <w:ind w:firstLine="709"/>
        <w:jc w:val="both"/>
        <w:rPr>
          <w:sz w:val="22"/>
          <w:szCs w:val="22"/>
        </w:rPr>
      </w:pPr>
      <w:r w:rsidRPr="00E474BE">
        <w:rPr>
          <w:b/>
          <w:sz w:val="22"/>
          <w:szCs w:val="22"/>
        </w:rPr>
        <w:t>Цель намечаемой деятельности:</w:t>
      </w:r>
      <w:r w:rsidRPr="00E474BE">
        <w:rPr>
          <w:sz w:val="22"/>
          <w:szCs w:val="22"/>
        </w:rPr>
        <w:t xml:space="preserve"> ликвидация накопленного экологического ущерба компонентам окружающей среды, нанесенного объектом размещения отходов.</w:t>
      </w:r>
    </w:p>
    <w:p w:rsidR="00987064" w:rsidRPr="00B67867" w:rsidRDefault="00987064" w:rsidP="00987064">
      <w:pPr>
        <w:pStyle w:val="Bodytext20"/>
        <w:keepNext/>
        <w:keepLines/>
        <w:shd w:val="clear" w:color="auto" w:fill="auto"/>
        <w:tabs>
          <w:tab w:val="left" w:pos="978"/>
        </w:tabs>
        <w:spacing w:line="312" w:lineRule="exact"/>
        <w:ind w:firstLine="709"/>
        <w:jc w:val="both"/>
        <w:rPr>
          <w:b/>
          <w:sz w:val="22"/>
          <w:szCs w:val="22"/>
        </w:rPr>
      </w:pPr>
      <w:r w:rsidRPr="00FC78DF">
        <w:rPr>
          <w:b/>
          <w:sz w:val="22"/>
          <w:szCs w:val="22"/>
        </w:rPr>
        <w:t>Основания для проведения общественных слушаний</w:t>
      </w:r>
      <w:r w:rsidRPr="00FC78DF">
        <w:rPr>
          <w:sz w:val="22"/>
          <w:szCs w:val="22"/>
        </w:rPr>
        <w:t>:</w:t>
      </w:r>
    </w:p>
    <w:p w:rsidR="00987064" w:rsidRPr="00B67867" w:rsidRDefault="00987064" w:rsidP="009870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867">
        <w:rPr>
          <w:rFonts w:ascii="Times New Roman" w:hAnsi="Times New Roman" w:cs="Times New Roman"/>
          <w:sz w:val="22"/>
          <w:szCs w:val="22"/>
        </w:rPr>
        <w:t xml:space="preserve">- Федерального </w:t>
      </w:r>
      <w:hyperlink r:id="rId5" w:history="1">
        <w:r w:rsidRPr="00B67867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B67867">
        <w:rPr>
          <w:rFonts w:ascii="Times New Roman" w:hAnsi="Times New Roman" w:cs="Times New Roman"/>
          <w:sz w:val="22"/>
          <w:szCs w:val="22"/>
        </w:rPr>
        <w:t xml:space="preserve"> от 10.01.2002  № 7-ФЗ «Об охране окружающей среды»;</w:t>
      </w:r>
    </w:p>
    <w:p w:rsidR="00987064" w:rsidRPr="00B67867" w:rsidRDefault="00987064" w:rsidP="009870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867">
        <w:rPr>
          <w:rFonts w:ascii="Times New Roman" w:hAnsi="Times New Roman" w:cs="Times New Roman"/>
          <w:sz w:val="22"/>
          <w:szCs w:val="22"/>
        </w:rPr>
        <w:t xml:space="preserve">- Федерального </w:t>
      </w:r>
      <w:hyperlink r:id="rId6" w:history="1">
        <w:r w:rsidRPr="00B67867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B67867">
        <w:rPr>
          <w:rFonts w:ascii="Times New Roman" w:hAnsi="Times New Roman" w:cs="Times New Roman"/>
          <w:sz w:val="22"/>
          <w:szCs w:val="22"/>
        </w:rPr>
        <w:t xml:space="preserve"> от 23.11.1995 № 174-ФЗ «Об экологической экспертизе»; </w:t>
      </w:r>
    </w:p>
    <w:p w:rsidR="00987064" w:rsidRPr="00B67867" w:rsidRDefault="00987064" w:rsidP="009870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78DF">
        <w:rPr>
          <w:rFonts w:ascii="Times New Roman" w:hAnsi="Times New Roman" w:cs="Times New Roman"/>
          <w:sz w:val="22"/>
          <w:szCs w:val="22"/>
        </w:rPr>
        <w:t xml:space="preserve">- Положение «Об оценке воздействия намечаемой хозяйственной и иной деятельности на окружающую среду в Российской Федерации», утвержденное приказом </w:t>
      </w:r>
      <w:proofErr w:type="spellStart"/>
      <w:r w:rsidRPr="00FC78DF">
        <w:rPr>
          <w:rFonts w:ascii="Times New Roman" w:hAnsi="Times New Roman" w:cs="Times New Roman"/>
          <w:sz w:val="22"/>
          <w:szCs w:val="22"/>
        </w:rPr>
        <w:t>Госкомэкологии</w:t>
      </w:r>
      <w:proofErr w:type="spellEnd"/>
      <w:r w:rsidRPr="00FC78DF">
        <w:rPr>
          <w:rFonts w:ascii="Times New Roman" w:hAnsi="Times New Roman" w:cs="Times New Roman"/>
          <w:sz w:val="22"/>
          <w:szCs w:val="22"/>
        </w:rPr>
        <w:t xml:space="preserve"> Российской Федерации от 16.05.2000 № 372.</w:t>
      </w:r>
    </w:p>
    <w:p w:rsidR="00987064" w:rsidRPr="00B67867" w:rsidRDefault="00987064" w:rsidP="009870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867">
        <w:rPr>
          <w:rFonts w:ascii="Times New Roman" w:hAnsi="Times New Roman" w:cs="Times New Roman"/>
          <w:sz w:val="22"/>
          <w:szCs w:val="22"/>
        </w:rPr>
        <w:t xml:space="preserve">- Устава муниципального района «Дзержинский район», Решения </w:t>
      </w:r>
      <w:r w:rsidRPr="00B67867">
        <w:rPr>
          <w:rStyle w:val="a4"/>
          <w:rFonts w:ascii="Times New Roman" w:hAnsi="Times New Roman" w:cs="Times New Roman"/>
          <w:sz w:val="22"/>
          <w:szCs w:val="22"/>
        </w:rPr>
        <w:t>Дзержинского районного собрания муниципального района «Дзержинский район»</w:t>
      </w:r>
      <w:r w:rsidRPr="00B67867">
        <w:rPr>
          <w:rStyle w:val="a4"/>
          <w:rFonts w:ascii="Times New Roman" w:hAnsi="Times New Roman" w:cs="Times New Roman"/>
          <w:b/>
          <w:sz w:val="22"/>
          <w:szCs w:val="22"/>
        </w:rPr>
        <w:t xml:space="preserve"> </w:t>
      </w:r>
      <w:r w:rsidRPr="00B67867">
        <w:rPr>
          <w:rStyle w:val="a4"/>
          <w:rFonts w:ascii="Times New Roman" w:hAnsi="Times New Roman" w:cs="Times New Roman"/>
          <w:sz w:val="22"/>
          <w:szCs w:val="22"/>
        </w:rPr>
        <w:t xml:space="preserve">об утверждении положения о порядке организации и проведения общественных обсуждений об оценке </w:t>
      </w:r>
      <w:proofErr w:type="gramStart"/>
      <w:r w:rsidRPr="00B67867">
        <w:rPr>
          <w:rStyle w:val="a4"/>
          <w:rFonts w:ascii="Times New Roman" w:hAnsi="Times New Roman" w:cs="Times New Roman"/>
          <w:sz w:val="22"/>
          <w:szCs w:val="22"/>
        </w:rPr>
        <w:t>воздействия</w:t>
      </w:r>
      <w:proofErr w:type="gramEnd"/>
      <w:r w:rsidRPr="00B67867">
        <w:rPr>
          <w:rStyle w:val="a4"/>
          <w:rFonts w:ascii="Times New Roman" w:hAnsi="Times New Roman" w:cs="Times New Roman"/>
          <w:sz w:val="22"/>
          <w:szCs w:val="22"/>
        </w:rPr>
        <w:t xml:space="preserve"> на окружающую среду намечаемой хозяйственной и иной деятельности на территории МР «Дзержинский район» № 587 от 18.08.2020</w:t>
      </w:r>
      <w:r w:rsidRPr="00B678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7064" w:rsidRDefault="00987064" w:rsidP="009870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1845" w:rsidRPr="009725C8" w:rsidRDefault="00371845" w:rsidP="003718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725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Предложения и замечания участников публичных слушаний по проектам:</w:t>
      </w:r>
    </w:p>
    <w:p w:rsidR="00371845" w:rsidRPr="009725C8" w:rsidRDefault="00371845" w:rsidP="003718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2943"/>
        <w:gridCol w:w="6521"/>
      </w:tblGrid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/>
                <w:color w:val="000000" w:themeColor="text1"/>
              </w:rPr>
              <w:t>Вопрос/Ответ (ФИО)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Текст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Как вы считаете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… К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ак вы лично как относитесь. Что это несанкционированная свалка, а подводится он под полигон.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Полигон и свалка – это абсолютно разные вещи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Да, действительно, возможно, некорректно мы используем термин полигон. Вы его также называли полигоном в своей речи. Это недочет. Объект будет назван в соответствии с техническим заданием. Слово полигон мы постараемся везде вычистить из документации. Эту рекомендацию учтем при подготовке к экологической экспертизе.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У нас по заданию идет рекультивация объекта размещения отходов вблизи п. Товарково. Соответственно объект назван – объект размещения отходов. Санкционированный он или не санкционированный – это вопрос следующий. В соответствии с ТЗ он называется объект размещения отходов. Вы справедливо указали, что такая двоякость толкования возможно некорректна. Поэтому мы будем называть объект: объект размещения отходов.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Это тогда меняет суть самого проекта.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Это не меняет проектные решения, принятые нами, а также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ни коим образом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не ставит под сомнение проведенные нами инженерные изыскания.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Национальный парк Угра затрагивается данным проектом рекультивации? Влияние вредных веществ? Затрагивается национальный парк Угра?</w:t>
            </w: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После предлагаемой вами рекультивации, когда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будет стоять пепелище Национальный парк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будет затрагиваться?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 границ отвала до границ национального Парка Угра расстояние 320 м. По результатам инженерно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–г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еодезических изысканий, выполненных с применением инструментальных методов, с использованием спутниковых систем. Дело в том, что я говорю о расстоянии до границ отходов. Границы отвала полигона не соответствуют границам участка.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Нет. Национальный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парк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затронут не будет.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Я конкретизирую: на границе после проведения всех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рекультивационных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мероприятий на границе земельного участка выбросы не будут превышать ПДК. Таким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образом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национальный парк затронут не будет. 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Расчеты выполнены инженерами-экологами компан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ии ООО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Гипрозем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» в расчётном комплексе.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Степанова Г.В.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После уточнения – расчет рассеивания выполнен в программном модуле ГИС ЭКОЦЕНТР версия 2.3.9 от 21 марта 2019г. Данные указаны в проектной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документации раздел том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12.1.1. ОВОС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.1 лист 45 текстовой части.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Объясните нам вот прямо «на пальцах» как будет собираться фильтрат. Около и вокруг свалочного тела? А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внутри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куда фильтрат будет деваться?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Ну конечно приподнять свалочное тело невозможным представляется никаким образом. По границе формируемого отвала отходов будет проложен дренажный трубопровод (дрена) для перехвата фильтрата, который может поступать из отжимной влаги из свалочного тела в окружающую среду. Да - по периметру свалочного тела. Дело в том, что у нас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имеется естественный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водоупор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глин толщина которого соответствует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нормативным требованиям, предъявляемым к полигонам. Эта информация содержится в материалах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ииженерно-геологических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изысканий (подтверждена ими). Мы имеем природный (естественного происхождения) противофильтрационный экран – глина полутвердая с примесью органических веществ.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 каком томе можно ознакомиться с этим? Где результаты исследования? Где можно было с ними ознакомиться?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С этим можно ознакомиться в томе ИОС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(л. 5 текстовой части тома). Результаты инженерно-геологических изысканий предусмотрены в соответствующем отчете.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После уточнения. По данным лабораторных исследований - приложения Н отчета об инженерно-геологических изысканиях (том ИГИ04-2010-ИГИ) коэффициент фильтрации грунтов ИГЭ-6 (глина) составляет от 0,0015-0,0040 м/сутки. Мощность слоя составляет от 1,7 до 3,5 м, что соответствует нормативным требованиям «Инструкции по проектированию, эксплуатации и рекультивации полигонов твердых бытовых отходов». Просачивание через тело естественного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водоупора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фильтрата невозможно. Кроме того, предусматривается устройство дренажного трубопровода и отведение фильтрата в пруд-накопитель.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Ознакомиться можно было в материалах изысканий.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Мы обсуждаем сейчас фильтрат. Мы поняли, что периметру свалки будет проложена дренажная система. А внутри сама себя глина очищает? Фильтрат она не пропускает. А куда он уходит тогда?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Глина сама себя очищать не может. По периметру свалки предусматривается ограждение шпунтовое или при помощи цементации бентонитом или стена в грунте, чтобы не допустить просачивание фильтрата в сопредельные породы и передачу его далее в окружающую среду. Мы подбираем наиболее подходящий вариант. Первоначально рассматривалось шпунтовое ограждение.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Продемонстрирован слайд со слоем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водоупора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(глин). Дан комментарий.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Водоупорный слой глин находится под всем отвалом отходов. Он имеет уклон. И в случае устройства ограждения мы изолируем отвал отходов и фильтрат, который может образоваться из отжимной влаги (а это уже будет небольшой объем) от попадания в смежные земельные участки.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Вы же понимаете, что внизу грунтовые воды и все просачивается в реку Угра.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Первый с поверхности водоносный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горизонт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вскрытый при инженерно-геологических изысканиях – это водоносный горизонт вскрытый всего одной скважиной из всех остальных (скважина №5) – это горизонт верховодки, который существует в известняках, непосредственно примыкающих к полигону. В этот полигон при нынешнем положении дел попадает фильтрат.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Я хотел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пояснить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как фильтрат образуется.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Он образуется при просачивании атмосферных осадков через свалочное тело. К нему добавляется та влага, которая образуется при дегидратации органических отходов, но при этом при расчете фильтрата еще учитывается полная полевая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влагоёмкость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отходов, расход отходов на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газогенерацию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, на испарение. Составляется полный водный баланс. При этом основная составляющая фильтрата,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он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поэтому так и называется, это фильтрующиеся через тело полигона атмосферные осадки.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 настоящий момент фильтрат в теле полигона есть. В самый нижней его части где-то около 1-2 м.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При перекрытии полигона финальным перекрытием, которое не даст просачиваться атмосферным осадкам через полигон. При сборе такого фильтрата, который сейчас там находиться, непосредственно перехвата его по ходу течения в существующий водоносный горизонт при изоляции тела полигона от окружающей природной среды, в том числе и от существующего периодически появляющегося горизонта верховодки. Мы можем утверждать, что фильтрат в подземные воды и вообще в природные воды попадать не будет.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Это утверждение, кроме всего прочего, сделано еще из практики проектирования и рекультивации некоторого количества полигонов и в том числе и свалок.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Вопрос: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Когда производились изыскания?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Изыскания проводились в этом году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 июне-июле 2020 г.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 этом году летом производились изыскания на поверхности. У нас даже есть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видео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как стоят установки. Бурили ли скважины.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 нас есть целый отчет (в т. ч. есть и видео,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фотофиксация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). Конечно, бурили скважины и в теле отвала.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Продемонстрированы слайды с материалами.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Свалочный газ. Как он планируется собираться со всего полигона?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Объясните «на пальцах».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Сколько скважин?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Для этого выделен специальный том – раздел ИОС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.2, в котором предусмотрены решения по сбору газа.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Свалочное тело будет пробурено. Скважины замаркированы на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1 тома ИГ-04-2010-ИОС7.2 (30 скважин). Шаг скважин 30-40 м, что нормируется технологическим регламентом получения биогаза с полигонов ТБО. Продемонстрирован слайд с общим устройством системы сбора биогаза. При помощи полиэтиленовых трубопроводов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биогаз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будет подведен к установке сжигания. От группы скважин буде проложена труба, далее трубы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будут собраны в гребенку и газ после гребенки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будет поступать на установку обезвреживания.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 каком проекте это можно увидеть? Что значит обезвреживание?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 томе ИОС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.2.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Газ будет сжигаться. Это один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из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способ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обезвреживания.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Высказаны сомнения в правильности содержащихся в документации продуктов сгорания биогаза.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Биогаз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гораздо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более опаснее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продуктов его сгорания. По поводу веществ, которые будут лететь из дымовой трубы: готов перепроверить вещества, т. к. допускаю, что не все вещества были учтены. Возможно, это так. В этом случае при подаче на экологическую экспертизу ваше замечание обязательно учтем, оно будет внесено в протокол. Мы все перепроверим и учтем все вещества, которые летят от этого источника.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Вот там перечень прописан, вы говорите 12 основных химических веществ, которые выделяет тело полигона. Если их всех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до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окислить и выбросить в эту трубу, то можно уже с этим, что будет вылетать. Потом вы сказали: в вашем же проекте написано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трихлорметан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четыреххлористый метан, этилбензол. Вот эти два вещества они хлорсодержащие. Если их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до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окислить и если открыть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справочник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химика, то можно сделать вывод что может получаться при сжигании этих веществ. Я не буду говорить. Правильно?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Написано, что в трещинах выделяется то-то, то-то, то-то,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трихлор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опять метан, четыреххлористый углерод, этилбензол, там много всего. Как раз предельные углеводороды. С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С6. Я прекрасно знаю химию.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Почему вы вот эти нормы, вы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пишите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каких допустимых, каких концентрациях выделяется из трещин выделяются вот эти вещества и в то же время вы сравниваете с предельно допустимой концентрации по нормативным документам которые отнесены к воздуху рабочей зоны, а он считается для закрытых помещений. Нужно сравнивать с другими ГН и гигиеническими материалами, которые относятся к воздуху населенных мест.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Состав биогаза принят в соответствии с «Методикой расчета количественных характеристик выбросов загрязняющих веществ в атмосферу от полигонов твердых бытовых и промышленных отходов». Эта методика является утвержденной. По ней принят компонентный состав биогаза в томе ИОС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.2.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У нас есть ответ от производителей установки по обезвреживанию биогаза:</w:t>
            </w:r>
          </w:p>
          <w:p w:rsidR="00371845" w:rsidRPr="009725C8" w:rsidRDefault="00371845" w:rsidP="00150F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КХА свалочного (биогаза) газа не выявил наличия хлорорганических соединений или свободного хлора в своём составе. </w:t>
            </w:r>
            <w:proofErr w:type="gramStart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Более того, образование </w:t>
            </w:r>
            <w:proofErr w:type="spellStart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>диоксинов</w:t>
            </w:r>
            <w:proofErr w:type="spellEnd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фуранов, при наличие таких предпосылок, происходит при температурах 350-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400 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С, а при температуре 800 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С, хлорорганические соединения окисляются (сгорают), при этом увеличение температуры более 1100 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>С не приводит к существенной интенсификации этого процесса.</w:t>
            </w:r>
            <w:proofErr w:type="gramEnd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Напротив, увеличение температуры до 1200 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существенно увеличивает образование термических оксидов азота. Следует отметить, что температура в 800 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в камере сгорания Установки не является максимальной, это температура всего топочного пространства, в то время как на самих горелках, температура достигает 1400 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>С.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" w:name="_gjdgxs" w:colFirst="0" w:colLast="0"/>
            <w:bookmarkEnd w:id="1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Сероводород горючий газ, даже температура его термического разложения составляет порядка 400 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С, не говоря уже о том, что в кислородной среде при температуре 800 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он полностью окисляется, поэтому требование очистки свалочного газа </w:t>
            </w:r>
            <w:proofErr w:type="gramStart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>перед</w:t>
            </w:r>
            <w:proofErr w:type="gramEnd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сжигание до значения в 5 раз ниже ПДК излишне и не обосновано. Заметим, что при любой газоочистке образуются новые отходы. Более того, свалочный газ, согласно КХА содержит 0,07 масс</w:t>
            </w:r>
            <w:proofErr w:type="gramStart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% </w:t>
            </w:r>
            <w:proofErr w:type="gramStart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gramEnd"/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>иоксида серы и 0,026 масс. % сероводорода, что при сжигание дает в дымовых газах концентрацию диоксида серы 16,6 мг/м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>, что в 3 раза ниже даже европейских нормативов (50 мг/м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9725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).                                                                                             Резюмирую сказанное, отмечаем, что температура термического обезвреживания свалочного газа выбрана правильно и обоснованно, сам свалочный газ не нуждается в предварительной очистке, а дымовые газы по концентрации загрязняющих веществ соответствуют нормативным требованиям. 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Оценку правильности выбора оборудована будет давать экологическая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экспертиза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мы в случае необходимости заменим его на более подходящее.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Правильно ли мы понимаем, что экологическая экспертиза будет проходить в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Росприроднадзоре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РФ?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Да, верно. Проект рекультивации в обязательном порядке проходит экспертизу в органах Росприроднадзора, в ФАУ «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Главгосэкспертиза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России», также будут оценены сметные затраты на объект. Все лишнее из сметы нам удалят. Нас впереди ожидает многоступенчатая экспертиза, которая не позволит реализовать решения, которые хоть в малейшей степени приведут к ухудшению качества жизни населения или повлиять на окружающую среду.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Скажите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пожалуйста по нашему замечанию, где площадь не правильно указана. Это что за площадь 16175? Вначале у вас площадь земельного участка идет 85625 – 163 участок, 25000-158 участок. Т.е. получается больше 100 000. И фактическая у вас указана занятая площадь отходами 100 000 м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ровно. У вас указано в начале. В вашем проекте. А расчеты вас делался из площади 16175. Откуда это? И откуда цифра объем составляет 312 306м3? Откуда это вообще?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Из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–з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а того, что нет формулы расчета и есть ошибка.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Я прокомментирую по поводу методики расчета свалочного тела.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Для расчета берется сумма двух инженерных изысканий. Верхняя поверхность цифровая создается исходя из инженерно-геодезических изысканий. Нижняя поверхность создается из данных инженерно-геологических изысканий, т.е. глубины скважин, по которым определяется мощность отходов, слагающих тело свалки. Соответственно между разностью этих двух поверхностей методом треугольных призм проводиться вычисление объема земляных масс.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Ну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есть в генплане такие программы — это программа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геоникс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или аналог, компьютер вычисляет объем отходов фактически в данный момент.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Где в проекте это указано?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Это том ПЗУ в нем есть картограмма земельных масс, в которой рассчитан объем фактически размещенных отходов. Это том 2 04-2010-ПЗУ лист 4 Схема планировочной организации земельного участка присутствует картограмма масс ТБО. В соответствии с ней объем свалочных масс 312306м3, площадь картограммы 46850м2.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 презентации в самом начале было сказано 4,7 га.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Я допускаю, что возможно есть какая-то неточность. Я допускаю такую возможность.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В ИОС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том, который говорит о технологии работ с отходами эти цифры указаны корректно.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Откройте том 12 ОВОС 1.1 лист 13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Здесь действительно имеет место техническая ошибка.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Которая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легко получается путем сложения площадей двух земельных участков. Мы эту ошибку исправим к экологической экспертизе.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Я хочу сказать по поводу вашего расчета объема полигона, который сделан по учебнику.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Что касается цифры 154м. Это абсолютная высота над уровнем моря. Она не имеет отношения к мощности полигона.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 сложении площадей двух участков 163 и </w:t>
            </w:r>
            <w:proofErr w:type="gram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158</w:t>
            </w:r>
            <w:proofErr w:type="gram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сколько получается? 163-85625, 158-25000. Сколько всего?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110 000 с мелочью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Т.е. площадь, занятая отходами получается еще больше чем указано?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Это не площадь, занятая отходами. Это площадь, занятая земельными участками, которые мы рассматриваем. Отходы занимают часть одного из этих участков. На втором участке отходов нет вообще.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Зачем был включен второй участок под рекультивацию, если там нет отходов?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Потому что есть в техническом задании заказчика и относиться к нашему объекту.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Он относиться к сопредельной территории, которая может быть использована в рамках проведения </w:t>
            </w:r>
            <w:proofErr w:type="spellStart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>рекультивационных</w:t>
            </w:r>
            <w:proofErr w:type="spellEnd"/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работ.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Какая предполагаемая стоимость организации рекультивации? Ориентировочно.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Стоимость рекультивации не превысит 1 млрд. руб.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А сколько стоит вывезти?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представителя комиссии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млр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А сколько жизней поставлено?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По вашим расчётам у нас получается 300000 куб.м. правильно? Элементарно считаем: если мы берем «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тоннар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», считаем 40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тонный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. У нас по объему это получается 7,5 тыс. машин, при средней ставке даже 20 000 берем от Москвы до нас. Я просто дистанцию вам, я с дальнобойщиками работал, я знаю. Это получается 15 млн. – это стоимость только вывоза машинами. Плюс техника которая там будет работать, плюс еще 15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млн</w:t>
            </w:r>
            <w:proofErr w:type="spellEnd"/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>сего 30млн.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Какая целесообразность вашего проекта?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представителя комиссии Гусаров А.А.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Добрый день уважаемые жители поселка Товарково. Я представлюсь: зам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лавы района Гусаров Алексей Алексеевич. </w:t>
            </w: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Это действительно хорошо, что сейчас идут дискуссии в этом направлении т.к. мнение жителей очередное, т.к. мы живем здесь на этой земле на самом деле хотелось бы порадоваться мне и вам, за то,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что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наконец то эта тоска тронется с места, объект пусть он называется свалкой, пусть полигоном, как бы он не назывался, но на сегодняшний момент он есть и это факт. И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то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что мы тронулись с места. Просто поймите. Вот этим летом, когда он возгорался этот полигон, мы с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вами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сколько лили пожарные машины воды, для того, чтобы затушить, для того, чтобы этот весь дым не шел, и эта вся вода лилась туда и шла в реку.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Сейчас после того, как данная организация предлагает проект, один из возможностей который будет утвержден после прохождения государственной экспертизы.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После того как закроется наш полигон полностью от попадания осадков туда, я не знаю, всех вод. Это же будет только положительно. Я просто не могу понять: ваша позиция? Вы не хотите его ликвидировать это полигон или как?   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Вывести этот полигон не предоставляется возможным. вы просто рассудите дальше: помимо того, что надо потратить какие-то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бешенные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средства на его транспортировку еще куда? И кто? Его примет.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смотрел в ваших замечаниях не помню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>, какую-то деревню вы предлагаете вывезти вблизи какой-то деревни.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Вы считаете, что жители этой деревни сидят и ждут, когда же Товарковский полигон привезут им.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При вскрытии этого полигона мы получим опять земли. Которые уже действительно пропитаны на протяжении нескольких лет т они так же будут издавать этот запах.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Этот запах будет даже в момент перевоза этих отходов.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Ответ: слушатель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Там будет современный полигон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Наша позиция такая: Нам нужна рекультивация как воздух, но после нее жить, а не умирать! Вся наша позиция!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Знаете, самая большая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ошибка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которую проектировщики совершили?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Они не дали технико-экономического обоснования каждого варианта. Этого в проекте нигде нет.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Они нас не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убедили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что нужно делать именно так как они предлагают.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Вот у нас другое мнение.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Мы предлагаем назначить общественную экологическую экспертизу, параллельно государственной и обращаемся к руководству района к администрации поселка Товарково, заняться вопросом назначения общественной экологической экспертизой, параллельно государственной или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. Лучше было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бы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если конечно ДО.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Комментарий: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Прошу прощения я хочу пояснить относительно выбросов. На текущий момент тело свалки, как мы ее называем, это тело отходов, которые пролежали там несколько лет, перекрытые слабопроницаемыми грунтами, и никто их не трогал. Сейчас все процессы там находятся в стадии затухания. Вся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газогенерация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находиться в стадии затухания. Если сейчас мы вскроем эту свалку, неизбежно туда попадут атмосферные осадки, и кислород из атмосферного воздуха, все процессы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газогенерации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интенсифицируются и в течени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тех, нескольких лет, а это будет несколько лет, в течении которых будут вывозиться отходы и загрязненные грунты. В течени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нескольких лет, пока будут производиться эти работы, вы будете иметь я бы сказал на </w:t>
            </w: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порядок больше того, что вы имеете сейчас или что имели за все эти годы. Это видели мы на полигоне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Кучино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, на полигоне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Ядрово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, и на всех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полигонах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на которых вскрываются отходы. Вы будете иметь залповый выброс.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Вопрос представителя комиссии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Есть ли опыт перемещения полигонов?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Вы позволите комментарий по поводу вывоза свалки. Я разрабатывал проект ликвидации свалки путем вывоза.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Кроме чистых затрат на транспортировку существуют еще так же оплата за негативное воздействие, плата за размещение отходов на полигоне она включает в себя все затраты на амортизацию полигона построенного, она включает в себя затраты на машины и механизмы, оплату труда работников, управленческого аппарата, оплату по системе Платон, оплату за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видеофиксацию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>, спутниковый контроль и прочее.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Поэтому статьи затрат там получаются довольно значительные. Они не составляют только в чистом виде стоимость транспортировки.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Почему не дали сравнительный анализ?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Сравнительный анализ не был предусмотрен техническим заданием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Вы сейчас не договариваете, что в течени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30лет 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пострекультивационный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период как раз и платиться за выбросы. Вы это замолчали?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30 лет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будет взиматься и это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будет платить администрация.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Должно быть 30.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Нет. Этот расчет приведен в Томе ООС.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Это платежи, которые обязательны законодательством.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20лет.  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Давайте вернёмся к печкам, которые вы хотите поставить. У них максимальная мощность по градусам 800?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Температура в камере 800, на грелках 1400.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У нас предусмотрено для этих целей 2 установки. Т.е. в случае если одна из них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выйдет из строя предусмотрена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вторая.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По поводу количества операторов, предусмотренных для обслуживания установки, соглашусь с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вами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что хоть установка и автоматическая, и полностью работает самостоятельно. Однако я увеличу количество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персонала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которое необходимо для ее работы до 4. В соответствии с вашим замечанием. Оно услышано.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Какие выбросы после сжигания будут? И в каком количестве? У вас перечислены вещества до сжигания.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Они в данный момент представлены в проектной документации. Раздел ОВОС. Это не соответствует действительности.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 документации есть таблица. 31 страница 11 таблица. Я не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услышала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в конце концов при сжигании свалочного газа образуются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диоксины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и фураны или нет?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По информации от производителя оборудования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диоксины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и фураны не образуются.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Доступна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что при сжигании свалочного газа образуются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диоксины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и фураны. Во всех открытых источниках информации это есть.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Мы не работаем с открытыми источниками, мы работаем с производителем оборудования.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Вопрос: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Можно я зачитаю прямо из проекта: свалочный газ проектируется сжигать на 2 установках обезвреживания горючих газов. Названия </w:t>
            </w: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буду зачитывать. Процесс термического обеззараживания свалочного газа происходит при 800С. Это у вас температура указана в проекте. В результате сжигания биогаза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исходя из его компонентного состава, который был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предоставлен так же в вашем проекте. Выбросов должны определяться после сжигания двуокись азота, окись азота, сернистый газ, серный ангидрид,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моноокись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углерода, двуокись углерода. При сжигании свалочного газа с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хлорсодержащим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единицами при температуре ниже 1200 могут образовываться опасные химические соединения, например,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диоксины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и фураны.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Про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диоксины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и фураны? Это открытые источники.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Мы взяли вашу температуру 800С, так же мы опыт на других свалках прочитали, где так же в московской области экологи борются, где в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Кучино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, где горит факелы у них, и летит не знамо, что в атмосферу, там бьют тревогу, при сжигании. Тоже потому что там маленькая температура.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Вы можете доказать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обратное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>? Что при 800С это не образуется? Если мы не правы.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Откуда вы сейчас зачитали информацию?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сожаления я специалист по обращению с отходами, специалист по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биогазу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здесь не представлен.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Он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вероятно смог бы профессионально ответить. Ответ на эти вопросы будет предоставлен на экологической экспертизе.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Комментарий: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Просим внести в протокол, что мы жители выступили с просьбой провести общественную экологическую экспертизу.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Второй участок не занят отходами.  Зачем было 158 участок под расширение действующего полигона?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Исходя из технологических соображений необходима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дополнительная площадь для производства строительно-монтажных работ.  Этот участок как смежный отводиться для того чтобы была возможность произвести все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манивровые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работы, все земляные работы, все прочие работы, которые предусматриваются проектом организации строительства.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Вопрос: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В проекте компоненты свалочного газа взяты из методики, по которой делался расчет. Это правомочно или нет? Т.е. цифра в цифру, число в число. Т.е. никаких натурных замеров не проводилось.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Кстати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расчета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сделали ошибочку, вы не правильно записали без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подставления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цифровых значений формула верно, а ответ извините не верно. У вас получилось 4700, а получается 4080.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На первую часть вопроса я отвечу. Значит у нас определен сосав биогаза следующим образом: соотношение метана и СО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по измеренному размеру об эмиссии биогаза, сосав выбросов у нас определен по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биогазу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через трещину.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Но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то что мы определили эмпирически не соответствует тому что реально выходит с поверхности полигона т.к. оно в разных местах выходит по-разному и не советует тому, что будет выходить, когда мы будем собрать. Потому что-то будут другие условия, это будет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биогаз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>, который не будет проходить   зону аэрации. Поэтому мы берем именно те соотношения, которые указаны методических рекомендациях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менно из-за того, что эти соотношения отработаны на моделях эмпирических, т.е. взяты образцы такого состава отходов и по процессам, которые в них происходят сделан состав соотношения компонентов биогаза. именно поэтому мы их берем. И именно поэтому это правомочно.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Ответ: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Патлай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Перед тем как подаваться на экологическую экспертизу. Мы обязательно перепроверим данные. Если установки не подходят </w:t>
            </w: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мы заменим их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подходящие. Документация будет откорректирована по вашим замечаниям. Спасибо </w:t>
            </w:r>
            <w:proofErr w:type="gramStart"/>
            <w:r w:rsidRPr="009725C8">
              <w:rPr>
                <w:rFonts w:ascii="Times New Roman" w:hAnsi="Times New Roman" w:cs="Times New Roman"/>
                <w:color w:val="000000" w:themeColor="text1"/>
              </w:rPr>
              <w:t>вам</w:t>
            </w:r>
            <w:proofErr w:type="gram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что вы делаете наш проект лучше. Мы обязательно на экологическую экспертизу подадим корректные данные. 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Комментарий: от слушателя</w:t>
            </w:r>
            <w:r w:rsidRPr="009725C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 зала 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Мы будем настаивать на других методах. Этот метод нам не подходит. 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Печи, факелы прошли где-нибудь экологическую экспертизу на помойках?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Расстояние на этих полигонах до жилья?</w:t>
            </w:r>
          </w:p>
        </w:tc>
      </w:tr>
      <w:tr w:rsidR="00371845" w:rsidRPr="009725C8" w:rsidTr="00150FA2">
        <w:tc>
          <w:tcPr>
            <w:tcW w:w="2943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>Ответ: Шустов А.М.</w:t>
            </w:r>
          </w:p>
        </w:tc>
        <w:tc>
          <w:tcPr>
            <w:tcW w:w="6521" w:type="dxa"/>
          </w:tcPr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Эти установки прошли экологическую экспертизу на полигонах: Кулаковский, и на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Игумново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(Нижегородская область), и Княжьи Горы.</w:t>
            </w:r>
          </w:p>
          <w:p w:rsidR="00371845" w:rsidRPr="009725C8" w:rsidRDefault="00371845" w:rsidP="00150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Кулаковский -150м, </w:t>
            </w:r>
            <w:proofErr w:type="spellStart"/>
            <w:r w:rsidRPr="009725C8">
              <w:rPr>
                <w:rFonts w:ascii="Times New Roman" w:hAnsi="Times New Roman" w:cs="Times New Roman"/>
                <w:color w:val="000000" w:themeColor="text1"/>
              </w:rPr>
              <w:t>Игумного</w:t>
            </w:r>
            <w:proofErr w:type="spellEnd"/>
            <w:r w:rsidRPr="009725C8">
              <w:rPr>
                <w:rFonts w:ascii="Times New Roman" w:hAnsi="Times New Roman" w:cs="Times New Roman"/>
                <w:color w:val="000000" w:themeColor="text1"/>
              </w:rPr>
              <w:t xml:space="preserve"> и Княжьи горы — это далеко.</w:t>
            </w:r>
          </w:p>
        </w:tc>
      </w:tr>
    </w:tbl>
    <w:p w:rsidR="00987064" w:rsidRPr="00B67867" w:rsidRDefault="00987064" w:rsidP="0098706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7064" w:rsidRPr="00062914" w:rsidRDefault="00987064" w:rsidP="00987064">
      <w:pPr>
        <w:pStyle w:val="Bodytext20"/>
        <w:keepNext/>
        <w:keepLines/>
        <w:shd w:val="clear" w:color="auto" w:fill="auto"/>
        <w:tabs>
          <w:tab w:val="left" w:pos="978"/>
        </w:tabs>
        <w:spacing w:line="312" w:lineRule="exact"/>
        <w:jc w:val="both"/>
        <w:rPr>
          <w:b/>
          <w:sz w:val="24"/>
          <w:szCs w:val="24"/>
        </w:rPr>
      </w:pPr>
    </w:p>
    <w:p w:rsidR="00987064" w:rsidRPr="009725C8" w:rsidRDefault="00987064" w:rsidP="00987064">
      <w:pPr>
        <w:pStyle w:val="Heading10"/>
        <w:keepNext/>
        <w:keepLines/>
        <w:shd w:val="clear" w:color="auto" w:fill="auto"/>
        <w:spacing w:line="322" w:lineRule="exact"/>
        <w:ind w:firstLine="709"/>
        <w:jc w:val="both"/>
        <w:rPr>
          <w:color w:val="000000" w:themeColor="text1"/>
          <w:sz w:val="22"/>
          <w:szCs w:val="22"/>
        </w:rPr>
      </w:pPr>
      <w:r w:rsidRPr="009725C8">
        <w:rPr>
          <w:color w:val="000000" w:themeColor="text1"/>
          <w:sz w:val="22"/>
          <w:szCs w:val="22"/>
        </w:rPr>
        <w:t>Председательствующий отметил, что повестка общественных обсуждений исчерпана, и цели общественных обсуждений достигнуты.</w:t>
      </w:r>
    </w:p>
    <w:p w:rsidR="00987064" w:rsidRPr="009725C8" w:rsidRDefault="00987064" w:rsidP="00987064">
      <w:pPr>
        <w:pStyle w:val="Bodytext20"/>
        <w:keepNext/>
        <w:keepLines/>
        <w:numPr>
          <w:ilvl w:val="0"/>
          <w:numId w:val="2"/>
        </w:numPr>
        <w:shd w:val="clear" w:color="auto" w:fill="auto"/>
        <w:tabs>
          <w:tab w:val="left" w:pos="978"/>
        </w:tabs>
        <w:spacing w:line="312" w:lineRule="exact"/>
        <w:ind w:firstLine="740"/>
        <w:jc w:val="both"/>
        <w:rPr>
          <w:b/>
          <w:color w:val="000000" w:themeColor="text1"/>
          <w:sz w:val="22"/>
          <w:szCs w:val="22"/>
        </w:rPr>
      </w:pPr>
      <w:r w:rsidRPr="009725C8">
        <w:rPr>
          <w:color w:val="000000" w:themeColor="text1"/>
          <w:sz w:val="22"/>
          <w:szCs w:val="22"/>
        </w:rPr>
        <w:t>До всех присутствующих доведена информация об общих проектных решениях, включая материалы оценки воздействия на окружающую среду проектно-сметной документации на рекультивацию объекта размещения отходов, расположенного в п. Товарково, включая техническое задание на проведение оценки воздействия на окружающую среду и материалы оценки воздействия на окружающую среду</w:t>
      </w:r>
    </w:p>
    <w:p w:rsidR="00987064" w:rsidRPr="009725C8" w:rsidRDefault="00987064" w:rsidP="00987064">
      <w:pPr>
        <w:pStyle w:val="Bodytext20"/>
        <w:shd w:val="clear" w:color="auto" w:fill="auto"/>
        <w:spacing w:line="322" w:lineRule="exact"/>
        <w:ind w:firstLine="567"/>
        <w:jc w:val="both"/>
        <w:rPr>
          <w:color w:val="000000" w:themeColor="text1"/>
          <w:sz w:val="22"/>
          <w:szCs w:val="22"/>
        </w:rPr>
      </w:pPr>
      <w:r w:rsidRPr="009725C8">
        <w:rPr>
          <w:color w:val="000000" w:themeColor="text1"/>
          <w:sz w:val="22"/>
          <w:szCs w:val="22"/>
        </w:rPr>
        <w:t>Процедура информирования общественности и других заинтересованных лиц проведена в соответствии с действующим законодательством Российской Федерации.</w:t>
      </w:r>
    </w:p>
    <w:p w:rsidR="00987064" w:rsidRPr="009725C8" w:rsidRDefault="00987064" w:rsidP="00987064">
      <w:pPr>
        <w:pStyle w:val="Bodytext20"/>
        <w:shd w:val="clear" w:color="auto" w:fill="auto"/>
        <w:spacing w:line="322" w:lineRule="exact"/>
        <w:ind w:firstLine="567"/>
        <w:jc w:val="both"/>
        <w:rPr>
          <w:color w:val="000000" w:themeColor="text1"/>
          <w:sz w:val="22"/>
          <w:szCs w:val="22"/>
        </w:rPr>
      </w:pPr>
      <w:r w:rsidRPr="009725C8">
        <w:rPr>
          <w:color w:val="000000" w:themeColor="text1"/>
          <w:sz w:val="22"/>
          <w:szCs w:val="22"/>
        </w:rPr>
        <w:t>Председательствующий предложил считать общественные обсуждения состоявшимися. Объявил обсуждения закрытыми.</w:t>
      </w:r>
    </w:p>
    <w:p w:rsidR="00987064" w:rsidRPr="009725C8" w:rsidRDefault="00987064" w:rsidP="00987064">
      <w:pPr>
        <w:pStyle w:val="Bodytext20"/>
        <w:keepNext/>
        <w:keepLines/>
        <w:shd w:val="clear" w:color="auto" w:fill="auto"/>
        <w:tabs>
          <w:tab w:val="left" w:pos="978"/>
        </w:tabs>
        <w:spacing w:line="312" w:lineRule="exact"/>
        <w:ind w:left="-142" w:firstLine="851"/>
        <w:jc w:val="both"/>
        <w:rPr>
          <w:color w:val="000000" w:themeColor="text1"/>
          <w:sz w:val="22"/>
          <w:szCs w:val="22"/>
        </w:rPr>
      </w:pPr>
      <w:r w:rsidRPr="009725C8">
        <w:rPr>
          <w:color w:val="000000" w:themeColor="text1"/>
          <w:sz w:val="22"/>
          <w:szCs w:val="22"/>
        </w:rPr>
        <w:t>Приложение на 1л. в 1 экз. – Регистрационный лист собрания участников публичного слушания.</w:t>
      </w:r>
    </w:p>
    <w:p w:rsidR="00987064" w:rsidRDefault="00987064" w:rsidP="00987064">
      <w:pPr>
        <w:pStyle w:val="Bodytext20"/>
        <w:shd w:val="clear" w:color="auto" w:fill="auto"/>
        <w:spacing w:line="280" w:lineRule="exact"/>
        <w:jc w:val="both"/>
        <w:rPr>
          <w:sz w:val="22"/>
          <w:szCs w:val="22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190"/>
        <w:gridCol w:w="2197"/>
      </w:tblGrid>
      <w:tr w:rsidR="00987064" w:rsidRPr="009725C8" w:rsidTr="00150FA2">
        <w:tc>
          <w:tcPr>
            <w:tcW w:w="4644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Председательствующий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А.А. Гусаров</w:t>
            </w:r>
          </w:p>
        </w:tc>
      </w:tr>
      <w:tr w:rsidR="00987064" w:rsidRPr="009725C8" w:rsidTr="00150FA2">
        <w:tc>
          <w:tcPr>
            <w:tcW w:w="4644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Инициатор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Р.О.Квятковский</w:t>
            </w:r>
          </w:p>
        </w:tc>
      </w:tr>
      <w:tr w:rsidR="00987064" w:rsidRPr="009725C8" w:rsidTr="00150FA2">
        <w:tc>
          <w:tcPr>
            <w:tcW w:w="7834" w:type="dxa"/>
            <w:gridSpan w:val="2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Представители проектной организац</w:t>
            </w:r>
            <w:proofErr w:type="gramStart"/>
            <w:r w:rsidRPr="009725C8">
              <w:rPr>
                <w:b/>
                <w:color w:val="000000" w:themeColor="text1"/>
                <w:sz w:val="22"/>
                <w:szCs w:val="22"/>
              </w:rPr>
              <w:t>ии ООО</w:t>
            </w:r>
            <w:proofErr w:type="gramEnd"/>
            <w:r w:rsidRPr="009725C8">
              <w:rPr>
                <w:b/>
                <w:color w:val="000000" w:themeColor="text1"/>
                <w:sz w:val="22"/>
                <w:szCs w:val="22"/>
              </w:rPr>
              <w:t xml:space="preserve"> «ГИПРОЗЕМ»:        </w:t>
            </w:r>
          </w:p>
        </w:tc>
        <w:tc>
          <w:tcPr>
            <w:tcW w:w="2197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87064" w:rsidRPr="009725C8" w:rsidTr="00150FA2">
        <w:tc>
          <w:tcPr>
            <w:tcW w:w="4644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ГИП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Г.В.Степанова</w:t>
            </w:r>
          </w:p>
        </w:tc>
      </w:tr>
      <w:tr w:rsidR="00987064" w:rsidRPr="009725C8" w:rsidTr="00150FA2">
        <w:tc>
          <w:tcPr>
            <w:tcW w:w="4644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Инженер-технолог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 xml:space="preserve">С.С. </w:t>
            </w:r>
            <w:proofErr w:type="spellStart"/>
            <w:r w:rsidRPr="009725C8">
              <w:rPr>
                <w:b/>
                <w:color w:val="000000" w:themeColor="text1"/>
                <w:sz w:val="22"/>
                <w:szCs w:val="22"/>
              </w:rPr>
              <w:t>Патлай</w:t>
            </w:r>
            <w:proofErr w:type="spellEnd"/>
          </w:p>
        </w:tc>
      </w:tr>
      <w:tr w:rsidR="00987064" w:rsidRPr="009725C8" w:rsidTr="00150FA2">
        <w:tc>
          <w:tcPr>
            <w:tcW w:w="4644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Начальник отдела инженерных изысканий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А.М.Шустов</w:t>
            </w:r>
          </w:p>
        </w:tc>
      </w:tr>
      <w:tr w:rsidR="00987064" w:rsidRPr="009725C8" w:rsidTr="00150FA2">
        <w:tc>
          <w:tcPr>
            <w:tcW w:w="4644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Секретарь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="00987064" w:rsidRPr="009725C8" w:rsidRDefault="00987064" w:rsidP="00150FA2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9725C8">
              <w:rPr>
                <w:b/>
                <w:color w:val="000000" w:themeColor="text1"/>
                <w:sz w:val="22"/>
                <w:szCs w:val="22"/>
              </w:rPr>
              <w:t>Е.В. Жарова</w:t>
            </w:r>
          </w:p>
        </w:tc>
      </w:tr>
    </w:tbl>
    <w:p w:rsidR="00987064" w:rsidRPr="009725C8" w:rsidRDefault="00987064" w:rsidP="0098706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7064" w:rsidRPr="009725C8" w:rsidRDefault="00987064" w:rsidP="0098706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7064" w:rsidRDefault="00987064" w:rsidP="00987064"/>
    <w:p w:rsidR="00987064" w:rsidRDefault="00987064" w:rsidP="00987064"/>
    <w:p w:rsidR="00124691" w:rsidRDefault="00124691"/>
    <w:sectPr w:rsidR="00124691" w:rsidSect="0012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1F96"/>
    <w:multiLevelType w:val="hybridMultilevel"/>
    <w:tmpl w:val="783CFAC6"/>
    <w:lvl w:ilvl="0" w:tplc="16562EB4">
      <w:start w:val="1"/>
      <w:numFmt w:val="bullet"/>
      <w:pStyle w:val="a"/>
      <w:lvlText w:val="−"/>
      <w:lvlJc w:val="left"/>
      <w:pPr>
        <w:tabs>
          <w:tab w:val="num" w:pos="765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63C12F2D"/>
    <w:multiLevelType w:val="multilevel"/>
    <w:tmpl w:val="10F60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7064"/>
    <w:rsid w:val="001227C7"/>
    <w:rsid w:val="00124691"/>
    <w:rsid w:val="00371845"/>
    <w:rsid w:val="007621D2"/>
    <w:rsid w:val="00987064"/>
    <w:rsid w:val="00E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870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7621D2"/>
    <w:rPr>
      <w:i/>
      <w:iCs/>
    </w:rPr>
  </w:style>
  <w:style w:type="paragraph" w:styleId="a5">
    <w:name w:val="No Spacing"/>
    <w:uiPriority w:val="1"/>
    <w:qFormat/>
    <w:rsid w:val="007621D2"/>
    <w:pPr>
      <w:spacing w:after="0" w:line="240" w:lineRule="auto"/>
      <w:jc w:val="both"/>
    </w:pPr>
  </w:style>
  <w:style w:type="paragraph" w:styleId="a6">
    <w:name w:val="List Paragraph"/>
    <w:basedOn w:val="a0"/>
    <w:uiPriority w:val="34"/>
    <w:qFormat/>
    <w:rsid w:val="007621D2"/>
    <w:pPr>
      <w:ind w:left="720"/>
      <w:contextualSpacing/>
    </w:pPr>
  </w:style>
  <w:style w:type="paragraph" w:customStyle="1" w:styleId="a">
    <w:name w:val="Дефис"/>
    <w:link w:val="a7"/>
    <w:qFormat/>
    <w:rsid w:val="007621D2"/>
    <w:pPr>
      <w:numPr>
        <w:numId w:val="1"/>
      </w:num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Дефис Знак"/>
    <w:link w:val="a"/>
    <w:rsid w:val="0076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 А4"/>
    <w:basedOn w:val="a0"/>
    <w:link w:val="40"/>
    <w:qFormat/>
    <w:rsid w:val="007621D2"/>
    <w:pPr>
      <w:tabs>
        <w:tab w:val="left" w:pos="284"/>
      </w:tabs>
      <w:spacing w:line="288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Обычный А4 Знак"/>
    <w:link w:val="4"/>
    <w:rsid w:val="0076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1"/>
    <w:link w:val="Heading10"/>
    <w:rsid w:val="009870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987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98706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0"/>
    <w:link w:val="Heading1"/>
    <w:rsid w:val="00987064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8">
    <w:name w:val="Table Grid"/>
    <w:basedOn w:val="a2"/>
    <w:uiPriority w:val="59"/>
    <w:rsid w:val="0098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987064"/>
    <w:pPr>
      <w:widowControl/>
    </w:pPr>
    <w:rPr>
      <w:rFonts w:ascii="Segoe UI" w:eastAsia="Times New Roman" w:hAnsi="Segoe UI" w:cs="Times New Roman"/>
      <w:color w:val="auto"/>
      <w:sz w:val="18"/>
      <w:szCs w:val="18"/>
      <w:lang w:bidi="ar-SA"/>
    </w:rPr>
  </w:style>
  <w:style w:type="character" w:customStyle="1" w:styleId="aa">
    <w:name w:val="Текст выноски Знак"/>
    <w:basedOn w:val="a1"/>
    <w:link w:val="a9"/>
    <w:rsid w:val="0098706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987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8DCB5F8BAA07559F7153A2CDCCC7C568232298989BC3ECBD426C86B94C8F0C036D9EB00D6B799U4R1N" TargetMode="External"/><Relationship Id="rId5" Type="http://schemas.openxmlformats.org/officeDocument/2006/relationships/hyperlink" Target="consultantplus://offline/ref=FD78DCB5F8BAA07559F7153A2CDCCC7C5589322E8B82BC3ECBD426C86B94C8F0C036D9EB00D6B791U4R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4395</Words>
  <Characters>25052</Characters>
  <Application>Microsoft Office Word</Application>
  <DocSecurity>0</DocSecurity>
  <Lines>208</Lines>
  <Paragraphs>58</Paragraphs>
  <ScaleCrop>false</ScaleCrop>
  <Company>Grizli777</Company>
  <LinksUpToDate>false</LinksUpToDate>
  <CharactersWithSpaces>29389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3</cp:revision>
  <dcterms:created xsi:type="dcterms:W3CDTF">2020-12-14T06:58:00Z</dcterms:created>
  <dcterms:modified xsi:type="dcterms:W3CDTF">2020-12-14T07:10:00Z</dcterms:modified>
</cp:coreProperties>
</file>