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9" w:rsidRPr="00040CD9" w:rsidRDefault="00040CD9" w:rsidP="00040CD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40CD9" w:rsidRPr="00040CD9" w:rsidRDefault="00040CD9" w:rsidP="00040CD9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040CD9" w:rsidRPr="00040CD9" w:rsidRDefault="00040CD9" w:rsidP="00040CD9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р.п. </w:t>
      </w:r>
      <w:proofErr w:type="gramStart"/>
      <w:r w:rsidRPr="00040CD9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 А.С.Стариков</w:t>
      </w:r>
    </w:p>
    <w:p w:rsidR="00040CD9" w:rsidRPr="00040CD9" w:rsidRDefault="00040CD9" w:rsidP="00040CD9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«22» марта 2023 г.</w:t>
      </w:r>
    </w:p>
    <w:p w:rsidR="00040CD9" w:rsidRPr="00040CD9" w:rsidRDefault="00040CD9" w:rsidP="00040CD9">
      <w:pPr>
        <w:spacing w:after="0"/>
        <w:ind w:firstLine="709"/>
        <w:jc w:val="right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jc w:val="right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jc w:val="both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jc w:val="both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jc w:val="both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jc w:val="both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jc w:val="both"/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040CD9" w:rsidRPr="00040CD9" w:rsidRDefault="00040CD9" w:rsidP="00040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АУКЦИОННАЯ ДОКУМЕНТАЦИЯ </w:t>
      </w:r>
    </w:p>
    <w:p w:rsidR="00040CD9" w:rsidRPr="00040CD9" w:rsidRDefault="00040CD9" w:rsidP="00040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аукциона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электронной форме</w:t>
      </w: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право заключения договора аренды земельного участка</w:t>
      </w:r>
    </w:p>
    <w:p w:rsidR="00040CD9" w:rsidRPr="00040CD9" w:rsidRDefault="00040CD9" w:rsidP="0004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CD9" w:rsidRPr="00040CD9" w:rsidRDefault="00040CD9" w:rsidP="00040CD9">
      <w:pPr>
        <w:rPr>
          <w:rFonts w:ascii="Calibri" w:eastAsia="Calibri" w:hAnsi="Calibri" w:cs="Times New Roman"/>
          <w:sz w:val="28"/>
          <w:szCs w:val="28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040CD9" w:rsidRPr="00040CD9" w:rsidRDefault="00040CD9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C8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о проведении электронного аукциона</w:t>
      </w:r>
    </w:p>
    <w:p w:rsidR="00C814D5" w:rsidRDefault="00C814D5" w:rsidP="00C8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C814D5" w:rsidRPr="00C814D5" w:rsidRDefault="00C814D5" w:rsidP="00C8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:21:070012:576</w:t>
      </w:r>
    </w:p>
    <w:p w:rsidR="00C814D5" w:rsidRDefault="00C814D5" w:rsidP="00C8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Октябрьского муниципального  района Волгоградской области на основании распоряжения администрации проводит АУКЦИОН в порядке предусмотренном статьями 39.8, 39.11, 39.12, 39.13 Земельного кодекса Российской Федерации.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404321 Волгоградская область, р.п. Октябрьский ул.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 (84475) 6-17-51, 6-22-69.</w:t>
      </w:r>
    </w:p>
    <w:p w:rsidR="002B64F9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лица: Стариков Андрей Сергеевич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37E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8 (84475) 6-17-51 6-10-47.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4F9"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 w:rsidR="002B64F9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B64F9"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B6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АО «Единая электронная торговая площадка». Сайт: </w:t>
      </w:r>
      <w:r w:rsidR="002B64F9" w:rsidRPr="002B64F9">
        <w:rPr>
          <w:rFonts w:ascii="Times New Roman" w:hAnsi="Times New Roman" w:cs="Times New Roman"/>
          <w:sz w:val="24"/>
          <w:szCs w:val="24"/>
        </w:rPr>
        <w:t>https://torgi.gov.ru/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на участие в электронном аукционе — 2</w:t>
      </w:r>
      <w:r w:rsidR="002B64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AC6">
        <w:rPr>
          <w:rFonts w:ascii="Times New Roman" w:hAnsi="Times New Roman" w:cs="Times New Roman"/>
          <w:sz w:val="24"/>
          <w:szCs w:val="24"/>
        </w:rPr>
        <w:t>0</w:t>
      </w:r>
      <w:r w:rsidR="002B64F9">
        <w:rPr>
          <w:rFonts w:ascii="Times New Roman" w:hAnsi="Times New Roman" w:cs="Times New Roman"/>
          <w:sz w:val="24"/>
          <w:szCs w:val="24"/>
        </w:rPr>
        <w:t>3</w:t>
      </w:r>
      <w:r w:rsidRPr="00B42AC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электронном аукционе — 2</w:t>
      </w:r>
      <w:r w:rsidR="002B64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AC6">
        <w:rPr>
          <w:rFonts w:ascii="Times New Roman" w:hAnsi="Times New Roman" w:cs="Times New Roman"/>
          <w:sz w:val="24"/>
          <w:szCs w:val="24"/>
        </w:rPr>
        <w:t>0</w:t>
      </w:r>
      <w:r w:rsidR="002B6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г.15:00 (московское время)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 Окончательный срок поступления задатка на счет, указанный электронной площадкой АО «ЕЭТП» - 2</w:t>
      </w:r>
      <w:r w:rsidR="002B64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6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г</w:t>
      </w:r>
      <w:r>
        <w:rPr>
          <w:rFonts w:ascii="Times New Roman" w:hAnsi="Times New Roman" w:cs="Times New Roman"/>
          <w:color w:val="158466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 (московское время)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рассмотрения заявок на участие в аукционе (определения участников аукциона) - 2</w:t>
      </w:r>
      <w:r w:rsidR="00DB04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64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.2023г. </w:t>
      </w:r>
    </w:p>
    <w:p w:rsidR="00C814D5" w:rsidRPr="00597C8F" w:rsidRDefault="00C814D5" w:rsidP="00597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</w:t>
      </w:r>
      <w:r w:rsidR="00597C8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.04.2023г. в 1</w:t>
      </w:r>
      <w:r w:rsidR="00597C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(московское время), </w:t>
      </w:r>
      <w:hyperlink r:id="rId5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97C8F" w:rsidRDefault="00C814D5" w:rsidP="00597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Извещение о результатах торгов размещается на официальном сайте </w:t>
      </w:r>
      <w:r w:rsidR="00597C8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97C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97C8F">
        <w:rPr>
          <w:rFonts w:ascii="Times New Roman" w:hAnsi="Times New Roman" w:cs="Times New Roman"/>
          <w:sz w:val="24"/>
          <w:szCs w:val="24"/>
        </w:rPr>
        <w:t>ктябрьский Октябрьского муниципального района Волгоградского района</w:t>
      </w:r>
      <w:r w:rsidR="00597C8F" w:rsidRPr="00597C8F">
        <w:t xml:space="preserve"> </w:t>
      </w:r>
      <w:proofErr w:type="spellStart"/>
      <w:r w:rsidR="00597C8F" w:rsidRPr="00597C8F">
        <w:rPr>
          <w:rFonts w:ascii="Times New Roman" w:hAnsi="Times New Roman" w:cs="Times New Roman"/>
          <w:sz w:val="24"/>
          <w:szCs w:val="24"/>
        </w:rPr>
        <w:t>www.gpoktyabr.ru</w:t>
      </w:r>
      <w:proofErr w:type="spellEnd"/>
      <w:r w:rsidR="00597C8F" w:rsidRPr="00597C8F">
        <w:rPr>
          <w:rFonts w:ascii="Times New Roman" w:hAnsi="Times New Roman" w:cs="Times New Roman"/>
          <w:sz w:val="24"/>
          <w:szCs w:val="24"/>
        </w:rPr>
        <w:t xml:space="preserve"> </w:t>
      </w:r>
      <w:r w:rsidR="00597C8F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597C8F">
        <w:rPr>
          <w:rFonts w:ascii="Times New Roman" w:hAnsi="Times New Roman" w:cs="Times New Roman"/>
          <w:sz w:val="24"/>
          <w:szCs w:val="24"/>
        </w:rPr>
        <w:t>htths</w:t>
      </w:r>
      <w:proofErr w:type="spellEnd"/>
      <w:r w:rsidR="00597C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97C8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597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7C8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97C8F"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6">
        <w:r w:rsidR="00597C8F">
          <w:rPr>
            <w:rFonts w:ascii="Times New Roman" w:hAnsi="Times New Roman"/>
            <w:sz w:val="24"/>
            <w:szCs w:val="24"/>
          </w:rPr>
          <w:t>https://www.roseltorg.ru</w:t>
        </w:r>
      </w:hyperlink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договора аренды земельного участка: </w:t>
      </w:r>
      <w:r w:rsidR="00597C8F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участка: Волгоградская область, </w:t>
      </w:r>
      <w:r w:rsidR="00597C8F">
        <w:rPr>
          <w:rFonts w:ascii="Times New Roman" w:hAnsi="Times New Roman" w:cs="Times New Roman"/>
          <w:sz w:val="24"/>
          <w:szCs w:val="24"/>
        </w:rPr>
        <w:t>Октябрьский район, ул</w:t>
      </w:r>
      <w:proofErr w:type="gramStart"/>
      <w:r w:rsidR="00597C8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7C8F">
        <w:rPr>
          <w:rFonts w:ascii="Times New Roman" w:hAnsi="Times New Roman" w:cs="Times New Roman"/>
          <w:sz w:val="24"/>
          <w:szCs w:val="24"/>
        </w:rPr>
        <w:t>олевая,27а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 w:rsidR="00597C8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34:07:</w:t>
      </w:r>
      <w:r w:rsidR="00597C8F">
        <w:rPr>
          <w:rFonts w:ascii="Times New Roman" w:hAnsi="Times New Roman" w:cs="Times New Roman"/>
          <w:sz w:val="24"/>
          <w:szCs w:val="24"/>
        </w:rPr>
        <w:t>070012</w:t>
      </w:r>
      <w:r w:rsidR="00597C8F" w:rsidRPr="00597C8F">
        <w:rPr>
          <w:rFonts w:ascii="Times New Roman" w:hAnsi="Times New Roman" w:cs="Times New Roman"/>
          <w:sz w:val="24"/>
          <w:szCs w:val="24"/>
        </w:rPr>
        <w:t>:</w:t>
      </w:r>
      <w:r w:rsidR="00597C8F">
        <w:rPr>
          <w:rFonts w:ascii="Times New Roman" w:hAnsi="Times New Roman" w:cs="Times New Roman"/>
          <w:sz w:val="24"/>
          <w:szCs w:val="24"/>
        </w:rPr>
        <w:t>576</w:t>
      </w:r>
    </w:p>
    <w:p w:rsidR="00C814D5" w:rsidRPr="00597C8F" w:rsidRDefault="00597C8F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</w:t>
      </w:r>
      <w:r w:rsidR="00597C8F">
        <w:rPr>
          <w:rFonts w:ascii="Times New Roman" w:hAnsi="Times New Roman" w:cs="Times New Roman"/>
          <w:sz w:val="24"/>
          <w:szCs w:val="24"/>
        </w:rPr>
        <w:t>хранение автотранспорта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аукциона (ежегодный размер арендной платы) –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346,00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сорок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 в год.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3% от начального размера годовой арендной платы в сумме — 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C814D5" w:rsidRDefault="00C814D5" w:rsidP="00C81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начального размера годовой арендной платы в сумме —</w:t>
      </w:r>
      <w:r w:rsidR="00597C8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,20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расчетный счет, открытый при регистрации на электронной площадке, не поздн</w:t>
      </w:r>
      <w:r w:rsidR="00D52411">
        <w:rPr>
          <w:rFonts w:ascii="Times New Roman" w:hAnsi="Times New Roman" w:cs="Times New Roman"/>
          <w:b/>
          <w:bCs/>
          <w:sz w:val="24"/>
          <w:szCs w:val="24"/>
        </w:rPr>
        <w:t>ее даты окончания подачи заявок, согласно Регламенту площадки.</w:t>
      </w:r>
    </w:p>
    <w:p w:rsidR="00C814D5" w:rsidRDefault="00C814D5" w:rsidP="00C814D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возврата задатка: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 и с помощью других Интернет-ресурсов. Выезд на местность для осмотра земельного участка не предусмотрен.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 на электронной площадке: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заинтересованному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необходимо пройти процедуру регистрации на электронной площадке.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Регистрации на электронной площадке подлежат лица, ранее не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или регистрация которых на электронной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 была ими прекращена.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на электронной площадке проводится в соответствии с Регламентом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</w:t>
      </w:r>
      <w:r w:rsidR="00D524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направляют заявку на участие в аукционе на электронной площадке АО «ЕЭТП»: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форме, а также прилагаемые к ней документы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Аукцион проводится в соответствии с Регламентом электронной площадки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день и час путем повышения начальной цены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 (арендной платы/первого арендного платежа), указанной в извещении о проведении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аукциона, документации об аукционе, на «шаг аукциона» в пределах трех процентов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предмета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обеспечивает доступ участников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закрытой части электронной площадки и возможность представления ими предложений 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открытой части электронной площадки - информация о начале проведения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аукциона с указанием наименования имущества, начальной цены аукциона и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 аукциона»;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закрытой части электронной площадки - помимо информации, указанной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площадки, также предложения о цене аукциона и время их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поступления, величина повышения начальной цены аукциона («шаг аукциона»), время,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оставшееся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приема предложений о цене арендной платы.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При проведении процедуры подачи ценовых предложений участники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форме подают ценовые предложения с учетом следующих требований: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предложение, равное предложению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меньше, чем ценовое предложение, которое подано таким участником;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 выше, чем текущее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ценовое предложение, вне пределов «шага аукциона».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При проведении процедуры подачи ценовых предложений устанавливается время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ценовых предложений,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минут от начала проведения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аукциона или текущего максимального ценового предложения на аукционе.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указанного времени ни одного ценового предложения о более высокой цене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не поступило, аукцион автоматически при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обеспечивающих его проведение, завершается.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В случае если при проведении процедуры подачи ценовых предложений были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поданы равные ценовые предложения несколькими участниками аукциона, то лучшим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признается ценовое предложение, поступившее ранее других ценовых предложений.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Победителем аукциона признается участник аукциона, предложивший наиболее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цену арендной платы.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Ход проведения процедуры аукциона фиксируется Оператором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направляется Организатору торгов в течение одного часа со времени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приема предложений о цене аукциона для подведения итогов аукциона путем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 протокола о результатах аукциона, который размещается на официальных сайтах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в течение дня, следующего за днем подписания указанного протокола.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8.8. Оператор вправе приостановить проведение аукциона в случае технологического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8.9. Процедура аукциона считается завершенной с момента подписания Организатором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протокола о результатах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Аукцион признается несостоявшимся в связи с отсутствием предложений о цене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высокую цену арендной платы, чем начальная цена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8.11. Решение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 оформляется протоколом 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В течение одного часа со времени размещения и подписания протокола 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 аукциона победителю (участнику, сделавшему предпоследнее предложение о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арендной платы/единственному участнику) направляется уведомление о признании его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победителем, участником, сделавшим предпоследнее предложение о цене аукциона,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участником с приложением данного протокола, а также размещается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 следующая информация: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сведения, позволяющие индивидуализировать земельный участок;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цена сделки;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физического лица или наименование юридического лица -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8.13. Протокол о результатах аукциона, оформленный по итогам проведения аукциона,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документом, удостоверяющим право победителя аукциона на заключение договора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Протокол о результатах аукциона размещается на официальных сайтах торгов и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площадке в течение одного рабочего дня со дня подписания протокола о</w:t>
      </w:r>
    </w:p>
    <w:p w:rsidR="00C814D5" w:rsidRDefault="00C814D5" w:rsidP="00C814D5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C814D5" w:rsidRDefault="00C814D5" w:rsidP="00C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D5" w:rsidRDefault="00C814D5" w:rsidP="00040C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411" w:rsidRDefault="00D52411" w:rsidP="00D52411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CD9" w:rsidRPr="00C814D5" w:rsidRDefault="002779DB" w:rsidP="00D52411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040CD9" w:rsidRPr="00040C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 № </w:t>
      </w:r>
      <w:r w:rsidR="00D5241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</w:p>
    <w:p w:rsidR="00040CD9" w:rsidRPr="00040CD9" w:rsidRDefault="00040CD9" w:rsidP="00040CD9">
      <w:pPr>
        <w:widowControl w:val="0"/>
        <w:spacing w:after="0" w:line="240" w:lineRule="atLeast"/>
        <w:ind w:left="-567" w:right="-6"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проект</w:t>
      </w:r>
    </w:p>
    <w:p w:rsidR="00040CD9" w:rsidRPr="00040CD9" w:rsidRDefault="00040CD9" w:rsidP="00040CD9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АРЕНДЫ № </w:t>
      </w:r>
    </w:p>
    <w:p w:rsidR="00040CD9" w:rsidRPr="00040CD9" w:rsidRDefault="00040CD9" w:rsidP="00040CD9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CD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040CD9" w:rsidRPr="00040CD9" w:rsidRDefault="00040CD9" w:rsidP="00040CD9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«____»____________202</w:t>
      </w:r>
      <w:r w:rsidR="00D52411"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года  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  <w:t>р.п. Октябрьский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040CD9" w:rsidRDefault="00040CD9" w:rsidP="00040CD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городского поселения р.п.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Октябрьский Октябрьского муниципального район  № </w:t>
      </w:r>
      <w:r w:rsidR="00D52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524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г., протокола №_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 w:rsidR="00337E57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CD9">
        <w:rPr>
          <w:rFonts w:ascii="Times New Roman" w:eastAsia="Calibri" w:hAnsi="Times New Roman" w:cs="Times New Roman"/>
          <w:sz w:val="24"/>
          <w:szCs w:val="24"/>
        </w:rPr>
        <w:t>202</w:t>
      </w:r>
      <w:r w:rsidR="00D52411"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  <w:t>г. открытого аукциона по продаже права на заключение договора аренды земельного участка, расположенного по адресу: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Волгоградская область р.п. Октябрьский ул. </w:t>
      </w:r>
    </w:p>
    <w:p w:rsidR="00040CD9" w:rsidRPr="00040CD9" w:rsidRDefault="00040CD9" w:rsidP="00040CD9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р.п. 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в лице главы городского поселения р.п. Октябрьский Старикова Андрея Сергеевича, действующего на основании Устава,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«Арендодатель»,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______________________________________________________, именуемы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«Арендатор»,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именуемые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«Стороны»,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040CD9" w:rsidRPr="00040CD9" w:rsidRDefault="00040CD9" w:rsidP="00040CD9">
      <w:pPr>
        <w:spacing w:after="12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- категория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– земли населенных пунктов, кадастровый номер </w:t>
      </w:r>
      <w:r w:rsidR="00D52411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D52411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использования в целях: </w:t>
      </w:r>
      <w:r w:rsidR="00D52411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общей площадью </w:t>
      </w:r>
      <w:r w:rsidR="00D5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1.3.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2. Срок договора</w:t>
      </w:r>
    </w:p>
    <w:p w:rsidR="00040CD9" w:rsidRPr="00040CD9" w:rsidRDefault="00040CD9" w:rsidP="00040CD9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2.1. Договор аренды заключен сроком на 10 лет с______________202__г.  по  ________________202_г. </w:t>
      </w:r>
    </w:p>
    <w:p w:rsidR="00040CD9" w:rsidRPr="00040CD9" w:rsidRDefault="00040CD9" w:rsidP="00040CD9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Волгоградской  области.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3.  Размер и условия внесения арендной платы.</w:t>
      </w:r>
    </w:p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          3.1. размер арендной платы Участка по результатам проведения аукциона в соответствии с протоколом о подведении итогов аукциона от _________20___ г.  составляет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________ (_____________) 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рублей ___ копеек в год, за земельный участок, расположенный по адресу: Волгоградская область р.п. Октябрьский ул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роизводственная,26д,  кадастровый номер</w:t>
      </w:r>
      <w:r w:rsidR="00D5241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CD9" w:rsidRPr="00040CD9" w:rsidRDefault="00040CD9" w:rsidP="00040C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3.3 Арендная плата вносится ежемесячно путем перечисления на счет:</w:t>
      </w:r>
    </w:p>
    <w:p w:rsidR="00040CD9" w:rsidRPr="00040CD9" w:rsidRDefault="00040CD9" w:rsidP="00040CD9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Реквизиты: </w:t>
      </w:r>
      <w:r w:rsidRPr="00040CD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Получатель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40CD9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олучатель: УФК по Волгоградской области (Администрация городского поселения р.п</w:t>
      </w: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ктябрьский л/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04293031360)</w:t>
      </w:r>
    </w:p>
    <w:p w:rsidR="00040CD9" w:rsidRPr="00040CD9" w:rsidRDefault="00040CD9" w:rsidP="00040CD9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</w:t>
      </w:r>
      <w:proofErr w:type="spellEnd"/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03100643000000012900</w:t>
      </w:r>
    </w:p>
    <w:p w:rsidR="00040CD9" w:rsidRPr="00040CD9" w:rsidRDefault="00040CD9" w:rsidP="00040CD9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к/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40102810445370000021</w:t>
      </w:r>
    </w:p>
    <w:p w:rsidR="00040CD9" w:rsidRPr="00040CD9" w:rsidRDefault="00040CD9" w:rsidP="00040CD9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ИНН 3421002930 КПП 342101001</w:t>
      </w:r>
    </w:p>
    <w:p w:rsidR="00040CD9" w:rsidRPr="00040CD9" w:rsidRDefault="00040CD9" w:rsidP="00040CD9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отделение Волгоград банка России/УФК по Волгоградской области г. Волгоград</w:t>
      </w:r>
    </w:p>
    <w:p w:rsidR="00040CD9" w:rsidRPr="00040CD9" w:rsidRDefault="00040CD9" w:rsidP="00040CD9">
      <w:pPr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БИК 011806101</w:t>
      </w:r>
      <w:r w:rsidRPr="00040CD9">
        <w:rPr>
          <w:rFonts w:ascii="Calibri" w:eastAsia="Calibri" w:hAnsi="Calibri" w:cs="Times New Roman"/>
        </w:rPr>
        <w:t xml:space="preserve">,  ОКТМО 18642151, </w:t>
      </w:r>
      <w:r w:rsidRPr="00040CD9">
        <w:rPr>
          <w:rFonts w:ascii="Times New Roman" w:eastAsia="Calibri" w:hAnsi="Times New Roman" w:cs="Times New Roman"/>
          <w:sz w:val="24"/>
          <w:szCs w:val="24"/>
        </w:rPr>
        <w:t>КБК 941 111 0501313 0000 120</w:t>
      </w:r>
      <w:r w:rsidRPr="00040CD9">
        <w:rPr>
          <w:rFonts w:ascii="Calibri" w:eastAsia="Calibri" w:hAnsi="Calibri" w:cs="Times New Roman"/>
        </w:rPr>
        <w:t xml:space="preserve"> арендная плата за земельный участок</w:t>
      </w:r>
    </w:p>
    <w:p w:rsidR="00040CD9" w:rsidRPr="00040CD9" w:rsidRDefault="00040CD9" w:rsidP="00040CD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3.4.Задаток в сумме ______________руб., внесенный арендатором на счет Арендодателя засчитывается Арендатору после подписания договора аренды в счет арендной платы.</w:t>
      </w:r>
    </w:p>
    <w:p w:rsidR="00040CD9" w:rsidRPr="00040CD9" w:rsidRDefault="00040CD9" w:rsidP="00040CD9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3.5.Арендная плата начисляется с начала срока аренды земельного участка, согласно п.2.1. </w:t>
      </w:r>
    </w:p>
    <w:p w:rsidR="00040CD9" w:rsidRPr="00040CD9" w:rsidRDefault="00040CD9" w:rsidP="00040CD9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Размер арендной платы изменяется в одностороннем порядке Арендодателем ежегодно с начала нового календарного года на индекс инфляции (индекс-дефлятор), применяемый при составлении проекта областного бюджета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CD9" w:rsidRPr="00040CD9" w:rsidRDefault="00040CD9" w:rsidP="00040CD9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4. Права  и обязанности Сторон.</w:t>
      </w:r>
    </w:p>
    <w:p w:rsidR="00040CD9" w:rsidRPr="00040CD9" w:rsidRDefault="00040CD9" w:rsidP="00040CD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Арендодатель имеет право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нарушения других условий Договора.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40CD9" w:rsidRPr="00040CD9" w:rsidRDefault="00040CD9" w:rsidP="00040CD9">
      <w:pPr>
        <w:spacing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4.2.1. Выполнять в полном объёме все условия Договора.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4.2.2. Передать Арендатору участок по акту приёма-передачи.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Письменно в десятидневный срок уведомить Арендатора об изменении реквизитов для перечисления арендной платы, указанных в п.3.3.</w:t>
      </w:r>
    </w:p>
    <w:p w:rsidR="00040CD9" w:rsidRPr="00040CD9" w:rsidRDefault="00040CD9" w:rsidP="00040CD9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Арендатор имеет право: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Предварительно получив письменное согласие Арендодателя, сдавать Участок в субаренду.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лицам. 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 истечении срока действия Договора в преимущественном порядке перед другими лицами заключить Договор аренды на новый срок на согласованных «Сторонами»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040CD9" w:rsidRPr="00040CD9" w:rsidRDefault="00040CD9" w:rsidP="00040CD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Арендатор обязан: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объёме все условия Договора.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Использовать участок в соответствии с целевым назначением и разрешённым использованием.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Уплачивать арендную плату в размере и на условиях, установленных Договором. 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 имеют иные права 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04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0,1 %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невнесённой арендной платы за каждый календарный день просрочки. 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40CD9" w:rsidRPr="00040CD9" w:rsidRDefault="00040CD9" w:rsidP="00040CD9">
      <w:pPr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040CD9" w:rsidRPr="00040CD9" w:rsidRDefault="00040CD9" w:rsidP="00040CD9">
      <w:pPr>
        <w:widowControl w:val="0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 Арендодателю Участок  в надлежащем состоянии.</w:t>
      </w:r>
    </w:p>
    <w:p w:rsidR="00040CD9" w:rsidRPr="00040CD9" w:rsidRDefault="00040CD9" w:rsidP="00040CD9">
      <w:pPr>
        <w:widowControl w:val="0"/>
        <w:spacing w:line="240" w:lineRule="atLeast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040CD9" w:rsidRPr="00040CD9" w:rsidRDefault="00040CD9" w:rsidP="00040CD9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40CD9" w:rsidRPr="00040CD9" w:rsidRDefault="00040CD9" w:rsidP="00040CD9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8. Особые условия договора</w:t>
      </w:r>
    </w:p>
    <w:p w:rsidR="00040CD9" w:rsidRPr="00040CD9" w:rsidRDefault="00040CD9" w:rsidP="00040CD9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8.1. Настоящий Договор составлен в 3 (трех) экземплярах, имеющих одинаковую юридическую силу, из которых один экземпляр хранится у Арендодателя, один экземпляр – у Арендатора, и один экземпляр передается в Управления Федеральной службы </w:t>
      </w:r>
      <w:r w:rsidRPr="00040CD9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регистрации кадастра и картографии по Волгоградской области.</w:t>
      </w:r>
    </w:p>
    <w:p w:rsidR="00040CD9" w:rsidRPr="00040CD9" w:rsidRDefault="00040CD9" w:rsidP="00040CD9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8.2. Взаимоотношения Сторон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Договором, регламентируются законодательством Российской Федерации.</w:t>
      </w:r>
    </w:p>
    <w:p w:rsidR="00040CD9" w:rsidRPr="00040CD9" w:rsidRDefault="00040CD9" w:rsidP="00040CD9">
      <w:pPr>
        <w:widowControl w:val="0"/>
        <w:ind w:right="-6"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040CD9" w:rsidRPr="00040CD9" w:rsidRDefault="00040CD9" w:rsidP="00040CD9">
      <w:pPr>
        <w:widowControl w:val="0"/>
        <w:spacing w:after="0" w:line="240" w:lineRule="atLeast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D9" w:rsidRPr="00040CD9" w:rsidRDefault="00040CD9" w:rsidP="00040CD9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9. Реквизиты Сторон</w:t>
      </w:r>
    </w:p>
    <w:p w:rsidR="00040CD9" w:rsidRPr="00040CD9" w:rsidRDefault="00040CD9" w:rsidP="00040CD9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100"/>
        <w:gridCol w:w="7471"/>
      </w:tblGrid>
      <w:tr w:rsidR="00040CD9" w:rsidRPr="00040CD9" w:rsidTr="00C814D5">
        <w:trPr>
          <w:trHeight w:val="2917"/>
        </w:trPr>
        <w:tc>
          <w:tcPr>
            <w:tcW w:w="1908" w:type="dxa"/>
            <w:hideMark/>
          </w:tcPr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7662" w:type="dxa"/>
            <w:hideMark/>
          </w:tcPr>
          <w:p w:rsidR="00040CD9" w:rsidRPr="00040CD9" w:rsidRDefault="00040CD9" w:rsidP="00040C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040CD9">
              <w:rPr>
                <w:rFonts w:ascii="Times New Roman" w:eastAsia="Calibri" w:hAnsi="Times New Roman" w:cs="Times New Roman"/>
                <w:b/>
              </w:rPr>
              <w:t>городского</w:t>
            </w:r>
            <w:proofErr w:type="gramEnd"/>
          </w:p>
          <w:p w:rsidR="00040CD9" w:rsidRPr="00040CD9" w:rsidRDefault="00040CD9" w:rsidP="00040C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поселения р.п. Октябрьский                                     </w:t>
            </w:r>
            <w:r w:rsidRPr="00040CD9">
              <w:rPr>
                <w:rFonts w:ascii="Times New Roman" w:eastAsia="Calibri" w:hAnsi="Times New Roman" w:cs="Times New Roman"/>
              </w:rPr>
              <w:t>.</w:t>
            </w:r>
          </w:p>
          <w:p w:rsidR="00040CD9" w:rsidRPr="00040CD9" w:rsidRDefault="00040CD9" w:rsidP="0004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404321,Волгоградская область</w:t>
            </w:r>
          </w:p>
          <w:p w:rsidR="00040CD9" w:rsidRPr="00040CD9" w:rsidRDefault="00040CD9" w:rsidP="0004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 Октябрьский, ул. Круглякова,165                         </w:t>
            </w:r>
          </w:p>
          <w:p w:rsidR="00040CD9" w:rsidRPr="00040CD9" w:rsidRDefault="00040CD9" w:rsidP="0004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3421002930/КПП 342101001                                </w:t>
            </w:r>
          </w:p>
          <w:p w:rsidR="00040CD9" w:rsidRPr="00040CD9" w:rsidRDefault="00040CD9" w:rsidP="00040CD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03231643186421512900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40CD9" w:rsidRPr="00040CD9" w:rsidRDefault="00040CD9" w:rsidP="00040CD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Волгоград Банка России</w:t>
            </w:r>
          </w:p>
          <w:p w:rsidR="00040CD9" w:rsidRPr="00040CD9" w:rsidRDefault="00040CD9" w:rsidP="0004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УФК по Волгоградской области                                   </w:t>
            </w:r>
          </w:p>
          <w:p w:rsidR="00040CD9" w:rsidRPr="00040CD9" w:rsidRDefault="00040CD9" w:rsidP="00040CD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40CD9" w:rsidRPr="00040CD9" w:rsidRDefault="00040CD9" w:rsidP="00040CD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БИК 011806101,</w:t>
            </w:r>
          </w:p>
          <w:p w:rsidR="00040CD9" w:rsidRPr="00040CD9" w:rsidRDefault="00040CD9" w:rsidP="00040CD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ОКАТО 18242551000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40CD9" w:rsidRPr="00040CD9" w:rsidRDefault="00040CD9" w:rsidP="0004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40CD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gorposok@yandex.ru</w:t>
              </w:r>
            </w:hyperlink>
          </w:p>
        </w:tc>
      </w:tr>
      <w:tr w:rsidR="00040CD9" w:rsidRPr="00040CD9" w:rsidTr="00C814D5">
        <w:tc>
          <w:tcPr>
            <w:tcW w:w="1908" w:type="dxa"/>
            <w:hideMark/>
          </w:tcPr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Арендатор:  </w:t>
            </w:r>
          </w:p>
        </w:tc>
        <w:tc>
          <w:tcPr>
            <w:tcW w:w="7662" w:type="dxa"/>
            <w:hideMark/>
          </w:tcPr>
          <w:p w:rsidR="00040CD9" w:rsidRPr="00040CD9" w:rsidRDefault="00040CD9" w:rsidP="00040CD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CD9" w:rsidRPr="00040CD9" w:rsidRDefault="00040CD9" w:rsidP="00040CD9">
      <w:pPr>
        <w:widowControl w:val="0"/>
        <w:spacing w:line="240" w:lineRule="atLeast"/>
        <w:ind w:left="-900"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040CD9" w:rsidRDefault="00040CD9" w:rsidP="00040CD9">
      <w:pPr>
        <w:spacing w:after="120" w:line="240" w:lineRule="auto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D9" w:rsidRPr="00040CD9" w:rsidRDefault="00040CD9" w:rsidP="00040CD9">
      <w:pPr>
        <w:spacing w:after="120" w:line="240" w:lineRule="auto"/>
        <w:ind w:left="-900" w:right="-6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Подписи Сторон:</w:t>
      </w:r>
    </w:p>
    <w:tbl>
      <w:tblPr>
        <w:tblW w:w="10089" w:type="dxa"/>
        <w:tblLook w:val="01E0"/>
      </w:tblPr>
      <w:tblGrid>
        <w:gridCol w:w="4868"/>
        <w:gridCol w:w="244"/>
        <w:gridCol w:w="4977"/>
      </w:tblGrid>
      <w:tr w:rsidR="00040CD9" w:rsidRPr="00040CD9" w:rsidTr="00C814D5">
        <w:trPr>
          <w:trHeight w:hRule="exact" w:val="2724"/>
        </w:trPr>
        <w:tc>
          <w:tcPr>
            <w:tcW w:w="4868" w:type="dxa"/>
          </w:tcPr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040CD9" w:rsidRPr="00040CD9" w:rsidRDefault="00040CD9" w:rsidP="00040CD9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040CD9" w:rsidRPr="00040CD9" w:rsidRDefault="00040CD9" w:rsidP="00040CD9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р.п. Октябрьский</w:t>
            </w:r>
          </w:p>
          <w:p w:rsidR="00040CD9" w:rsidRPr="00040CD9" w:rsidRDefault="00040CD9" w:rsidP="00040CD9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  /Стариков А.С./</w:t>
            </w:r>
          </w:p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" w:type="dxa"/>
          </w:tcPr>
          <w:p w:rsidR="00040CD9" w:rsidRPr="00040CD9" w:rsidRDefault="00040CD9" w:rsidP="00040CD9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Арендатор:       </w:t>
            </w: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____________________/Ф.И.О./</w:t>
            </w: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 </w:t>
            </w: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040CD9" w:rsidRPr="00040CD9" w:rsidRDefault="00040CD9" w:rsidP="00040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C814D5" w:rsidRDefault="00040CD9" w:rsidP="00040CD9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C814D5" w:rsidRDefault="00040CD9" w:rsidP="00040CD9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C814D5" w:rsidRDefault="00040CD9" w:rsidP="00040CD9">
      <w:pPr>
        <w:widowControl w:val="0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D9" w:rsidRPr="00040CD9" w:rsidRDefault="00040CD9" w:rsidP="00040CD9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284" w:rsidRDefault="00636284" w:rsidP="00040CD9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284" w:rsidRDefault="00636284" w:rsidP="00040CD9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D9" w:rsidRPr="00040CD9" w:rsidRDefault="00040CD9" w:rsidP="00040CD9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А КТ</w:t>
      </w:r>
    </w:p>
    <w:p w:rsidR="00040CD9" w:rsidRPr="00040CD9" w:rsidRDefault="00040CD9" w:rsidP="00040C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Приёма-передачи</w:t>
      </w:r>
    </w:p>
    <w:p w:rsidR="00040CD9" w:rsidRPr="00040CD9" w:rsidRDefault="00040CD9" w:rsidP="00040C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к договору аренды земельного участка № ____</w:t>
      </w:r>
    </w:p>
    <w:p w:rsidR="00040CD9" w:rsidRPr="00040CD9" w:rsidRDefault="00040CD9" w:rsidP="00040C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0CD9" w:rsidRPr="00040CD9" w:rsidRDefault="00040CD9" w:rsidP="00040C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«____»_________202</w:t>
      </w:r>
      <w:r w:rsidR="00337E57"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40CD9" w:rsidRPr="00040CD9" w:rsidRDefault="00040CD9" w:rsidP="00040CD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городского поселения р.п. Октябрьский Октябрьского муниципального района в лице главы городского поселения Старикова Андрея Сергеевича, действующего  на основании Устава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именуемый(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составили настоящий акт приёма-передачи (в дальнейшем -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Акт</w:t>
      </w:r>
      <w:r w:rsidRPr="00040CD9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040CD9" w:rsidRPr="00040CD9" w:rsidRDefault="00040CD9" w:rsidP="00040C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участок, категория земель –____________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с кадастровым номером:</w:t>
      </w:r>
      <w:r w:rsidR="00337E57" w:rsidRP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E57"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                                                          находящийся по адресу: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.</w:t>
      </w:r>
    </w:p>
    <w:p w:rsidR="00040CD9" w:rsidRPr="00040CD9" w:rsidRDefault="00040CD9" w:rsidP="00040CD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2. Земельный участок передан в надлежащем виде, пригоден для использования. Претензий у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Арендатора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Арендодателю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040CD9" w:rsidRPr="00040CD9" w:rsidRDefault="00040CD9" w:rsidP="00040CD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3. Настоящий Акт составлен в </w:t>
      </w:r>
      <w:r w:rsidR="00337E57">
        <w:rPr>
          <w:rFonts w:ascii="Times New Roman" w:eastAsia="Calibri" w:hAnsi="Times New Roman" w:cs="Times New Roman"/>
          <w:sz w:val="24"/>
          <w:szCs w:val="24"/>
        </w:rPr>
        <w:t>2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-х экземплярах, каждый из которых прилагается к экземпляру договора.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040CD9" w:rsidRPr="00040CD9" w:rsidRDefault="00040CD9" w:rsidP="00040CD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D9" w:rsidRPr="00040CD9" w:rsidRDefault="00040CD9" w:rsidP="00040CD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__________________________/А.С. Стариков/</w:t>
      </w:r>
    </w:p>
    <w:p w:rsidR="00040CD9" w:rsidRPr="00040CD9" w:rsidRDefault="00040CD9" w:rsidP="00040CD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D9" w:rsidRPr="00040CD9" w:rsidRDefault="00040CD9" w:rsidP="00040CD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 ___________________________ /Ф.И.О./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0CD9" w:rsidRPr="00040CD9" w:rsidRDefault="00040CD9" w:rsidP="00040CD9">
      <w:pPr>
        <w:rPr>
          <w:rFonts w:ascii="Calibri" w:eastAsia="Calibri" w:hAnsi="Calibri" w:cs="Times New Roman"/>
        </w:rPr>
      </w:pPr>
    </w:p>
    <w:p w:rsidR="00040CD9" w:rsidRPr="00040CD9" w:rsidRDefault="00040CD9" w:rsidP="00040CD9">
      <w:pPr>
        <w:rPr>
          <w:rFonts w:ascii="Calibri" w:eastAsia="Calibri" w:hAnsi="Calibri" w:cs="Times New Roman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337E57" w:rsidRDefault="00337E57" w:rsidP="00040CD9">
      <w:pPr>
        <w:rPr>
          <w:rFonts w:ascii="Calibri" w:eastAsia="Calibri" w:hAnsi="Calibri" w:cs="Times New Roman"/>
          <w:sz w:val="20"/>
          <w:szCs w:val="20"/>
        </w:rPr>
      </w:pPr>
    </w:p>
    <w:p w:rsidR="00040CD9" w:rsidRPr="00040CD9" w:rsidRDefault="00040CD9" w:rsidP="00040CD9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Согласованно</w:t>
      </w:r>
      <w:r w:rsidRPr="00C814D5">
        <w:rPr>
          <w:rFonts w:ascii="Calibri" w:eastAsia="Calibri" w:hAnsi="Calibri" w:cs="Times New Roman"/>
          <w:sz w:val="20"/>
          <w:szCs w:val="20"/>
        </w:rPr>
        <w:t>:</w:t>
      </w:r>
      <w:r w:rsidRPr="00040CD9">
        <w:rPr>
          <w:rFonts w:ascii="Calibri" w:eastAsia="Calibri" w:hAnsi="Calibri" w:cs="Times New Roman"/>
          <w:sz w:val="20"/>
          <w:szCs w:val="20"/>
        </w:rPr>
        <w:t xml:space="preserve"> зам. главы:</w:t>
      </w:r>
    </w:p>
    <w:p w:rsidR="002F7D44" w:rsidRPr="00337E57" w:rsidRDefault="00040CD9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Согласовано: ведущий специалист-юрист:</w:t>
      </w:r>
    </w:p>
    <w:sectPr w:rsidR="002F7D44" w:rsidRPr="00337E57" w:rsidSect="00C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FA2"/>
    <w:multiLevelType w:val="multilevel"/>
    <w:tmpl w:val="0F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33"/>
    <w:rsid w:val="00040CD9"/>
    <w:rsid w:val="0020290F"/>
    <w:rsid w:val="002779DB"/>
    <w:rsid w:val="002A4790"/>
    <w:rsid w:val="002B64F9"/>
    <w:rsid w:val="002F7D44"/>
    <w:rsid w:val="00337E57"/>
    <w:rsid w:val="00597C8F"/>
    <w:rsid w:val="005F4733"/>
    <w:rsid w:val="00636284"/>
    <w:rsid w:val="00875F78"/>
    <w:rsid w:val="009A3AB5"/>
    <w:rsid w:val="00C814D5"/>
    <w:rsid w:val="00C862EB"/>
    <w:rsid w:val="00D52411"/>
    <w:rsid w:val="00DB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posok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5" Type="http://schemas.openxmlformats.org/officeDocument/2006/relationships/hyperlink" Target="https://www.roseltorg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5</cp:revision>
  <dcterms:created xsi:type="dcterms:W3CDTF">2023-03-22T06:14:00Z</dcterms:created>
  <dcterms:modified xsi:type="dcterms:W3CDTF">2023-03-22T12:24:00Z</dcterms:modified>
</cp:coreProperties>
</file>