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406A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«Село Высокиничи»</w:t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Калужской области </w:t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Высокиничи</w:t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A7" w:rsidRPr="00406AA7" w:rsidRDefault="00406AA7" w:rsidP="0040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DB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0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  № </w:t>
      </w:r>
      <w:r w:rsidR="00DB7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BB041A" w:rsidRPr="00BB041A" w:rsidRDefault="00BB041A" w:rsidP="00406AA7">
      <w:pPr>
        <w:rPr>
          <w:rFonts w:ascii="Times New Roman" w:hAnsi="Times New Roman" w:cs="Times New Roman"/>
          <w:b/>
          <w:sz w:val="26"/>
          <w:szCs w:val="26"/>
        </w:rPr>
      </w:pPr>
    </w:p>
    <w:p w:rsidR="00C71E52" w:rsidRDefault="00C71E52" w:rsidP="00C71E52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1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«Село Высокиничи» от 27.04.2021г. № 57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«Село Высокиничи» муниципального района </w:t>
      </w:r>
    </w:p>
    <w:p w:rsidR="00C71E52" w:rsidRPr="00C71E52" w:rsidRDefault="00C71E52" w:rsidP="00C71E52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«Жуковский район» Калужской области»</w:t>
      </w:r>
    </w:p>
    <w:p w:rsidR="00C71E52" w:rsidRDefault="00C71E52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A42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C71E52" w:rsidRPr="00C71E5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</w:t>
      </w:r>
      <w:r w:rsidR="00C71E52" w:rsidRPr="00C71E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кадастровой деятельности», Постановлением Правительства Калужской области от 15.06.2015 № 312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="00286DF3" w:rsidRPr="00406AA7">
        <w:rPr>
          <w:rFonts w:ascii="Times New Roman" w:eastAsia="Calibri" w:hAnsi="Times New Roman" w:cs="Times New Roman"/>
          <w:sz w:val="26"/>
          <w:szCs w:val="26"/>
        </w:rPr>
        <w:t xml:space="preserve"> администрация сельского поселения «</w:t>
      </w:r>
      <w:r w:rsidR="00347FB9" w:rsidRPr="00406AA7">
        <w:rPr>
          <w:rFonts w:ascii="Times New Roman" w:eastAsia="Calibri" w:hAnsi="Times New Roman" w:cs="Times New Roman"/>
          <w:sz w:val="26"/>
          <w:szCs w:val="26"/>
        </w:rPr>
        <w:t>Село Высокиничи</w:t>
      </w:r>
      <w:r w:rsidR="00286DF3" w:rsidRPr="00406AA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347FB9" w:rsidRPr="00406AA7">
        <w:rPr>
          <w:rFonts w:ascii="Times New Roman" w:eastAsia="Calibri" w:hAnsi="Times New Roman" w:cs="Times New Roman"/>
          <w:sz w:val="26"/>
          <w:szCs w:val="26"/>
        </w:rPr>
        <w:t>Жуковского</w:t>
      </w:r>
      <w:r w:rsidR="00286DF3" w:rsidRPr="00406AA7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="00B518BA" w:rsidRPr="0040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 w:rsidRPr="0040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B518BA" w:rsidRPr="00406A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71E52" w:rsidRPr="00406AA7" w:rsidRDefault="00C71E52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351" w:rsidRPr="00C71E52" w:rsidRDefault="00C71E52" w:rsidP="00C71E52">
      <w:pPr>
        <w:pStyle w:val="aa"/>
        <w:widowControl w:val="0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E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от 27.04.2021г. № 57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«Село Высокиничи» муниципального района «Жуковский район» Калужской области»</w:t>
      </w:r>
      <w:r w:rsidRPr="00C71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1E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71E52" w:rsidRPr="00C71E52" w:rsidRDefault="00C71E52" w:rsidP="00C71E52">
      <w:pPr>
        <w:pStyle w:val="aa"/>
        <w:widowControl w:val="0"/>
        <w:numPr>
          <w:ilvl w:val="1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E52">
        <w:rPr>
          <w:rFonts w:ascii="Times New Roman" w:hAnsi="Times New Roman" w:cs="Times New Roman"/>
          <w:bCs/>
          <w:sz w:val="26"/>
          <w:szCs w:val="26"/>
        </w:rPr>
        <w:t>Преамбулу Постановления изложить в следующей редакции:</w:t>
      </w:r>
    </w:p>
    <w:p w:rsidR="00C71E52" w:rsidRPr="00C71E52" w:rsidRDefault="00C71E52" w:rsidP="00C71E52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E52">
        <w:rPr>
          <w:rFonts w:ascii="Times New Roman" w:hAnsi="Times New Roman" w:cs="Times New Roman"/>
          <w:bCs/>
          <w:sz w:val="26"/>
          <w:szCs w:val="26"/>
        </w:rPr>
        <w:t xml:space="preserve">«В соответствии со ст. 42.10 Федерального закона от 24.07.2007 №221-ФЗ «О кадастровой деятельности», Постановлением Правительства Калужской области от 15.06.2015 № 312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работ», Распоряжением главы муниципального образования сельского поселения «Село </w:t>
      </w:r>
      <w:r>
        <w:rPr>
          <w:rFonts w:ascii="Times New Roman" w:hAnsi="Times New Roman" w:cs="Times New Roman"/>
          <w:bCs/>
          <w:sz w:val="26"/>
          <w:szCs w:val="26"/>
        </w:rPr>
        <w:t>Высокиничи</w:t>
      </w:r>
      <w:r w:rsidRPr="00C71E52">
        <w:rPr>
          <w:rFonts w:ascii="Times New Roman" w:hAnsi="Times New Roman" w:cs="Times New Roman"/>
          <w:bCs/>
          <w:sz w:val="26"/>
          <w:szCs w:val="26"/>
        </w:rPr>
        <w:t xml:space="preserve">» «О возложении полномочий председателя согласительной комиссии по согласованию местоположения границ земельных участков при выполнении комплексных кадастровых работ на главу администрации сельского поселения «Село </w:t>
      </w:r>
      <w:r>
        <w:rPr>
          <w:rFonts w:ascii="Times New Roman" w:hAnsi="Times New Roman" w:cs="Times New Roman"/>
          <w:bCs/>
          <w:sz w:val="26"/>
          <w:szCs w:val="26"/>
        </w:rPr>
        <w:t>Высокиничи</w:t>
      </w:r>
      <w:r w:rsidRPr="00C71E52">
        <w:rPr>
          <w:rFonts w:ascii="Times New Roman" w:hAnsi="Times New Roman" w:cs="Times New Roman"/>
          <w:bCs/>
          <w:sz w:val="26"/>
          <w:szCs w:val="26"/>
        </w:rPr>
        <w:t>» от 21.07.2021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77BE">
        <w:rPr>
          <w:rFonts w:ascii="Times New Roman" w:hAnsi="Times New Roman" w:cs="Times New Roman"/>
          <w:bCs/>
          <w:sz w:val="26"/>
          <w:szCs w:val="26"/>
        </w:rPr>
        <w:t>31</w:t>
      </w:r>
      <w:r w:rsidRPr="00C71E52">
        <w:rPr>
          <w:rFonts w:ascii="Times New Roman" w:hAnsi="Times New Roman" w:cs="Times New Roman"/>
          <w:bCs/>
          <w:sz w:val="26"/>
          <w:szCs w:val="26"/>
        </w:rPr>
        <w:t>.</w:t>
      </w:r>
    </w:p>
    <w:p w:rsidR="00C71E52" w:rsidRPr="00C71E52" w:rsidRDefault="00C71E52" w:rsidP="00C71E52">
      <w:pPr>
        <w:pStyle w:val="aa"/>
        <w:widowControl w:val="0"/>
        <w:numPr>
          <w:ilvl w:val="1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E52">
        <w:rPr>
          <w:rFonts w:ascii="Times New Roman" w:hAnsi="Times New Roman" w:cs="Times New Roman"/>
          <w:bCs/>
          <w:sz w:val="26"/>
          <w:szCs w:val="26"/>
        </w:rPr>
        <w:t>Пункт 4.11 Регламента работы согласительной комиссии изложить в следующей редакции:</w:t>
      </w:r>
    </w:p>
    <w:p w:rsidR="00C71E52" w:rsidRPr="00C71E52" w:rsidRDefault="00C71E52" w:rsidP="00DB77BE">
      <w:pPr>
        <w:pStyle w:val="a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E52">
        <w:rPr>
          <w:rFonts w:ascii="Times New Roman" w:hAnsi="Times New Roman" w:cs="Times New Roman"/>
          <w:bCs/>
          <w:sz w:val="26"/>
          <w:szCs w:val="26"/>
        </w:rPr>
        <w:lastRenderedPageBreak/>
        <w:t>«Заседание согласительной комиссии считается правомочным, если на нем присутствует не менее 50 процентов от установленного числа ее членов.»</w:t>
      </w:r>
    </w:p>
    <w:p w:rsidR="00744B5C" w:rsidRPr="00DB77BE" w:rsidRDefault="00744B5C" w:rsidP="00DB77B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77BE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4B1FEA" w:rsidRDefault="00744B5C" w:rsidP="00DB77BE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</w:t>
      </w:r>
      <w:r w:rsidR="00DB77BE" w:rsidRPr="004B1FEA">
        <w:rPr>
          <w:rFonts w:ascii="Times New Roman" w:hAnsi="Times New Roman" w:cs="Times New Roman"/>
          <w:sz w:val="26"/>
          <w:szCs w:val="26"/>
        </w:rPr>
        <w:t>силу после</w:t>
      </w:r>
      <w:r w:rsidRPr="004B1FE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 </w:t>
      </w: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AA7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710443" w:rsidRPr="00A964D1" w:rsidRDefault="00406AA7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</w:t>
      </w:r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Высокиничи</w:t>
      </w:r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»   </w:t>
      </w:r>
      <w:proofErr w:type="gramEnd"/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Калужская О.Н.</w:t>
      </w:r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DB77BE" w:rsidRDefault="00DB77BE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DB77BE" w:rsidRDefault="00DB77BE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DB77BE" w:rsidRDefault="00DB77BE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DB77BE" w:rsidRPr="00A964D1" w:rsidRDefault="00DB77BE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BE" w:rsidRDefault="00DB77B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06AA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Высокиничи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06A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131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06AA7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.04.2021 № 57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406AA7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3E196A"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«Село Высокиничи» </w:t>
      </w: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145DE4" w:rsidRPr="00406AA7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406AA7"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Жуковский район</w:t>
      </w: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 Калужской области</w:t>
      </w:r>
    </w:p>
    <w:p w:rsidR="00145DE4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406AA7" w:rsidRPr="00406AA7" w:rsidTr="00531C4B">
        <w:tc>
          <w:tcPr>
            <w:tcW w:w="6487" w:type="dxa"/>
          </w:tcPr>
          <w:p w:rsidR="008B36C9" w:rsidRPr="00406AA7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406AA7" w:rsidRDefault="008B36C9" w:rsidP="00145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6AA7" w:rsidRPr="00406AA7" w:rsidTr="00531C4B">
        <w:tc>
          <w:tcPr>
            <w:tcW w:w="6487" w:type="dxa"/>
            <w:vAlign w:val="center"/>
          </w:tcPr>
          <w:p w:rsidR="008B36C9" w:rsidRPr="00406AA7" w:rsidRDefault="008B36C9" w:rsidP="00406A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6AA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сельского поселения</w:t>
            </w:r>
            <w:r w:rsidR="00406AA7" w:rsidRPr="00406AA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«Село Высокиничи»</w:t>
            </w:r>
            <w:r w:rsidRPr="00406AA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_________________</w:t>
            </w:r>
          </w:p>
        </w:tc>
        <w:tc>
          <w:tcPr>
            <w:tcW w:w="3827" w:type="dxa"/>
            <w:vAlign w:val="center"/>
          </w:tcPr>
          <w:p w:rsidR="008B36C9" w:rsidRPr="00406AA7" w:rsidRDefault="00406AA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Калужская Ольга Николаевна</w:t>
            </w:r>
          </w:p>
        </w:tc>
      </w:tr>
      <w:tr w:rsidR="00406AA7" w:rsidRPr="00406AA7" w:rsidTr="00531C4B">
        <w:tc>
          <w:tcPr>
            <w:tcW w:w="6487" w:type="dxa"/>
            <w:vAlign w:val="center"/>
          </w:tcPr>
          <w:p w:rsidR="006440CA" w:rsidRPr="00406AA7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406AA7" w:rsidRDefault="006440C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6AA7" w:rsidRPr="00406AA7" w:rsidTr="00531C4B">
        <w:tc>
          <w:tcPr>
            <w:tcW w:w="6487" w:type="dxa"/>
            <w:vAlign w:val="center"/>
          </w:tcPr>
          <w:p w:rsidR="006440CA" w:rsidRPr="00406AA7" w:rsidRDefault="006440CA" w:rsidP="00406A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r w:rsidRPr="00406AA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сельского поселения</w:t>
            </w:r>
            <w:r w:rsidR="00406AA7" w:rsidRPr="00406AA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«Село Высокиничи»</w:t>
            </w:r>
            <w:r w:rsidRPr="00406AA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_________________</w:t>
            </w:r>
          </w:p>
        </w:tc>
        <w:tc>
          <w:tcPr>
            <w:tcW w:w="3827" w:type="dxa"/>
            <w:vAlign w:val="center"/>
          </w:tcPr>
          <w:p w:rsidR="006440CA" w:rsidRPr="00406AA7" w:rsidRDefault="00406AA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Муравьева Алла Александровна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2A61AE" w:rsidRPr="002A61AE" w:rsidRDefault="00B062DE" w:rsidP="008B3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7F7F7"/>
              </w:rPr>
            </w:pPr>
            <w:r w:rsidRPr="002A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Кудрявцева Наталия </w:t>
            </w:r>
            <w:proofErr w:type="gramStart"/>
            <w:r w:rsidRPr="002A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Игоревна</w:t>
            </w:r>
            <w:r w:rsidR="002A61AE" w:rsidRPr="002A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A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2A61AE" w:rsidRPr="002A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</w:t>
            </w:r>
            <w:r w:rsidR="002A61AE" w:rsidRPr="002A61A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начальника управления - </w:t>
            </w:r>
            <w:r w:rsidR="002A61AE" w:rsidRPr="002A6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земельных и имущественных отношений-начальник отдела </w:t>
            </w:r>
            <w:r w:rsidR="002A61AE" w:rsidRPr="002A61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7F7F7"/>
              </w:rPr>
              <w:t xml:space="preserve">регулирования земельных отношений </w:t>
            </w:r>
          </w:p>
          <w:p w:rsidR="00B062DE" w:rsidRPr="00531C4B" w:rsidRDefault="00B062DE" w:rsidP="002A61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Изюмова Елена Леонидовна – главный специалист отдела регулирования земельных отношений</w:t>
            </w:r>
            <w:r w:rsidRPr="002A61AE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406AA7" w:rsidRDefault="00531C4B" w:rsidP="002A61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</w:t>
            </w:r>
            <w:r w:rsidR="002A61AE"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управлению муниципальным имуществом администрации муниципального района «Жуковский район»</w:t>
            </w:r>
          </w:p>
        </w:tc>
        <w:tc>
          <w:tcPr>
            <w:tcW w:w="3827" w:type="dxa"/>
            <w:vAlign w:val="center"/>
          </w:tcPr>
          <w:p w:rsidR="00531C4B" w:rsidRDefault="003E196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Белякова Людмила Валерьевна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406AA7" w:rsidRDefault="00075C9F" w:rsidP="002A61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</w:t>
            </w:r>
            <w:r w:rsidR="002A61AE"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архитектуры и градостроительства</w:t>
            </w: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«</w:t>
            </w:r>
            <w:r w:rsidR="003E196A"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Жуковский</w:t>
            </w:r>
            <w:r w:rsidRPr="0040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3E196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Майер Наталья Николаевна</w:t>
            </w: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Pr="002A61AE" w:rsidRDefault="00B062DE" w:rsidP="008B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1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Фалевский</w:t>
            </w:r>
            <w:proofErr w:type="spellEnd"/>
            <w:r w:rsidRPr="002A61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Алексей Сергеевич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406AA7" w:rsidRDefault="008C7618" w:rsidP="0040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 администрации</w:t>
      </w:r>
      <w:r w:rsidR="00DB7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</w:t>
      </w:r>
      <w:r w:rsidR="00406AA7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«Село Высокиничи»</w:t>
      </w:r>
    </w:p>
    <w:p w:rsidR="00406AA7" w:rsidRDefault="00406AA7" w:rsidP="00406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26.04.2021 № 57</w:t>
      </w:r>
      <w:r w:rsidR="00DB7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внесенными изменениями от _______2021г. № 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Pr="00406AA7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</w:t>
      </w:r>
      <w:r w:rsidR="00406AA7"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участков</w:t>
      </w:r>
      <w:r w:rsid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406AA7"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при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выполнении комплексных кадастровых работ на территории </w:t>
      </w: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сельского поселения </w:t>
      </w:r>
      <w:r w:rsidR="002A61AE"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«Село Высокиничи»</w:t>
      </w: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FB15E8" w:rsidRP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r w:rsidR="002A61AE"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Жуковский</w:t>
      </w:r>
      <w:r w:rsidRPr="00406AA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области</w:t>
      </w:r>
    </w:p>
    <w:p w:rsidR="002616F8" w:rsidRPr="00202583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40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регламент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разработан в соответствии с частью 5 статьи 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Федерального закона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24.07.2007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кадастровой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деятельности» 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</w:t>
      </w:r>
      <w:r w:rsidR="00406AA7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 комплексных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кадастровых работ на территории муниципального образования «</w:t>
      </w:r>
      <w:r w:rsid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Высокиничи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6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7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06AA7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 w:rsidR="002A61AE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«Село Высокиничи»</w:t>
      </w: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C63A5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</w:t>
      </w:r>
      <w:r w:rsidR="002A61AE" w:rsidRPr="0040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«Село Высокиничи»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контроль за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согласительной комиссии правомочно, если </w:t>
      </w:r>
      <w:r w:rsidR="00DB77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 </w:t>
      </w:r>
      <w:r w:rsidR="00DB77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не менее 50 процентов от установленного числа её членов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DB77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4F6"/>
    <w:multiLevelType w:val="multilevel"/>
    <w:tmpl w:val="8196E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128CD"/>
    <w:rsid w:val="00114348"/>
    <w:rsid w:val="00114DFF"/>
    <w:rsid w:val="00126035"/>
    <w:rsid w:val="0013036B"/>
    <w:rsid w:val="00145DE4"/>
    <w:rsid w:val="001A030F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A61AE"/>
    <w:rsid w:val="002C4A3B"/>
    <w:rsid w:val="002E3DA4"/>
    <w:rsid w:val="002E5A1C"/>
    <w:rsid w:val="0031640B"/>
    <w:rsid w:val="00347FB9"/>
    <w:rsid w:val="0036206C"/>
    <w:rsid w:val="003715C8"/>
    <w:rsid w:val="00395B60"/>
    <w:rsid w:val="003E196A"/>
    <w:rsid w:val="003E58F4"/>
    <w:rsid w:val="003F1EB9"/>
    <w:rsid w:val="003F7A96"/>
    <w:rsid w:val="004031C3"/>
    <w:rsid w:val="00406AA7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42351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0CF2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062DE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71E52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B77BE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D4DAB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E131F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62CF"/>
  <w15:docId w15:val="{808A4D66-E085-418F-931E-3C329EB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Заголовок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kipedia.ru/document/5155885?pid=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2021-07-23T09:11:00Z</cp:lastPrinted>
  <dcterms:created xsi:type="dcterms:W3CDTF">2021-04-27T11:31:00Z</dcterms:created>
  <dcterms:modified xsi:type="dcterms:W3CDTF">2021-07-23T09:26:00Z</dcterms:modified>
</cp:coreProperties>
</file>