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Администрация  муниципального образования –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Гусевское городское поселение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Касимовского муниципального района Рязанской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ПОСТАНОВЛЕНИЕ</w:t>
      </w:r>
    </w:p>
    <w:p>
      <w:pPr>
        <w:pStyle w:val="Normal"/>
        <w:suppressAutoHyphens w:val="true"/>
        <w:spacing w:lineRule="auto" w:line="36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12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 xml:space="preserve"> г.        </w:t>
        <w:tab/>
        <w:tab/>
        <w:tab/>
        <w:tab/>
        <w:t xml:space="preserve">              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125/1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zh-CN"/>
        </w:rPr>
        <w:t>р.п. Гусь-Железный</w:t>
      </w:r>
    </w:p>
    <w:p>
      <w:pPr>
        <w:pStyle w:val="Normal"/>
        <w:spacing w:lineRule="atLeast" w:line="36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Об утверждении порядка проведения инвентаризации земельных участков и мест захоронения на кладбищах муниципального образования – Гусевское городское поселение Касимовского муниципального района муниципального района Рязанской области</w:t>
      </w:r>
    </w:p>
    <w:p>
      <w:pPr>
        <w:pStyle w:val="Normal"/>
        <w:spacing w:lineRule="atLeast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360" w:before="0" w:after="0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Распоряжением Правительства РФ от 02.09.2021 № 2424-р «Об утверждении Национального плана («дорожной карты») развития конкуренции в Российской Федерации на 2021 - 2025 годы», руководствуясь Уставом муниципального образования – Гусевское городское поселение Касимовского муниципального района Рязанской области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администрация 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ind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Утвердить Порядок проведения инвентаризации мест захоронений на кладбищах, расположенных на территории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>
      <w:pPr>
        <w:pStyle w:val="Normal"/>
        <w:spacing w:lineRule="auto" w:line="240" w:before="0" w:after="0"/>
        <w:ind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>2. Считать утратившим силу постановление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 w:themeColor="text1"/>
          <w:sz w:val="24"/>
          <w:szCs w:val="24"/>
          <w:lang w:eastAsia="ru-RU"/>
        </w:rPr>
        <w:t>администрации муниципального образования – Гусевское городское поселение от 10.08.2022 №76/1 «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 w:themeColor="text1"/>
          <w:sz w:val="24"/>
          <w:szCs w:val="24"/>
          <w:lang w:eastAsia="ru-RU"/>
        </w:rPr>
        <w:t>Об утверждении порядка проведения инвентаризации земельных участков и мест захоронения на кладбищах муниципального образования – Гусевское городское поселение Касимовского муниципального района муниципального района Рязанской области».</w:t>
      </w:r>
    </w:p>
    <w:p>
      <w:pPr>
        <w:pStyle w:val="Normal"/>
        <w:spacing w:lineRule="atLeast" w:line="360" w:before="0" w:after="0"/>
        <w:ind w:hanging="0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 Настоящее постановление вступает в силу после его официального опубликования (обнародования) в сети «Интернет» на официальном сайте администрации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 информационном бюллетене Гусевского городского поселения.</w:t>
      </w:r>
    </w:p>
    <w:p>
      <w:pPr>
        <w:pStyle w:val="Normal"/>
        <w:spacing w:lineRule="atLeast" w:line="360" w:before="0" w:after="0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 Контроль за исполнением постановления оставляю за собой.</w:t>
      </w:r>
    </w:p>
    <w:p>
      <w:pPr>
        <w:pStyle w:val="Normal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56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Глава муниципального образования -</w:t>
      </w:r>
    </w:p>
    <w:p>
      <w:pPr>
        <w:pStyle w:val="Normal"/>
        <w:suppressAutoHyphens w:val="true"/>
        <w:spacing w:lineRule="auto" w:line="240" w:before="0" w:after="0"/>
        <w:ind w:right="56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Гусевское городское поселение</w:t>
      </w:r>
    </w:p>
    <w:p>
      <w:pPr>
        <w:pStyle w:val="Normal"/>
        <w:suppressAutoHyphens w:val="true"/>
        <w:spacing w:lineRule="auto" w:line="240" w:before="0" w:after="0"/>
        <w:ind w:right="56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Касимовского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right="566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Рязанской области                                                                     Е.А.Химушина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Утвержден </w:t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spacing w:lineRule="atLeast" w:line="36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муниципального образования – </w:t>
      </w:r>
    </w:p>
    <w:p>
      <w:pPr>
        <w:pStyle w:val="Normal"/>
        <w:spacing w:lineRule="atLeast" w:line="36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Гусевское городское поселение</w:t>
      </w:r>
    </w:p>
    <w:p>
      <w:pPr>
        <w:pStyle w:val="Normal"/>
        <w:spacing w:lineRule="atLeast" w:line="36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11.12.2023 № 125/1</w:t>
      </w:r>
    </w:p>
    <w:p>
      <w:pPr>
        <w:pStyle w:val="Normal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ПРОВЕДЕНИЯ ИНВЕНТАРИЗАЦИИ МЕСТ ЗАХОРОНЕНИЙ НА КЛАДБИЩАХ, РАСПОЛОЖЕННЫХ НА ТЕРРИТОРИИ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МУНИЦИПАЛЬНОГО ОБРАЗОВАНИЯ — ГУСЕВСКОЕ ГОРОДСКОЕ ПОСЕЛЕНИЕ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1.1. Настоящее Положение устанавливает порядок проведения инвентаризации мест захоронений на кладбищах, </w:t>
      </w:r>
      <w:r>
        <w:rPr>
          <w:rFonts w:ascii="Times New Roman" w:hAnsi="Times New Roman"/>
          <w:sz w:val="24"/>
          <w:szCs w:val="24"/>
        </w:rPr>
        <w:t xml:space="preserve">находящихся в ведении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муниципального образования –  Гусевское городское поселение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Понятия, используемые в настоящем Порядке, применяются в значениях, установленных Федеральным законом от 12.01.1996 № 8-ФЗ «О погребении и похоронном деле».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1.3. Основными задачами инвентаризации мест захоронений на кладбищах являются: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сбор информации о местах захоронений и об установленных на них памятниках, оградах (далее по тексту – надмогильные сооружения (надгробия)) на кладбищах;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выявление бесхозяйных (неучтенных) мест захоронений и принятие мер по их регистрации;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систематизация данных о различных местах захоронений;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формирований электронной базы мест захоронений в формате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xcel;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планирование территории кладбища;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анализ соответствия фактических границ с кадастровыми;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повышение доступности информации о местах захоронений.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Инвентаризация мест захоронений проводится не реже одного раза в три года.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1.5. Объектами инвентаризации являются все места захоронений, произведенные на кладбищах, </w:t>
      </w:r>
      <w:r>
        <w:rPr>
          <w:rFonts w:ascii="Times New Roman" w:hAnsi="Times New Roman"/>
          <w:sz w:val="24"/>
          <w:szCs w:val="24"/>
        </w:rPr>
        <w:t xml:space="preserve">находящихся в ведении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муниципального образования – Гусевское городское поселение.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Порядок принятия решений о проведении инвентаризации мест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захоронений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2.1. Решение о проведении инвентаризации мест захоронений на кладбищах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принимается администрацией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по тексту – администрация) путем принятия муниципального правового акта не позднее чем за один месяц до предполагаемой даты проведения работ по инвентаризации.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2.2. Решение о проведении инвентаризации мест захоронений принимается в связи с истечением срока, предусмотренного пунктом 1.4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2.3. Проведение инвентаризации мест захоронений на вновь образуемых кладбищах проводится по истечении одного года, но не позднее трех лет с момента образования кладбища и утверждения его планировки.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 Ответственность за своевременность подготовки проектов решений о проведении инвентаризации мест захоронений возлагается на должностных лиц администрации.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2.4. Решение о проведении инвентаризации мест захоронений должно содержать: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цель проведения инвентаризации и причину ее проведения;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дата начала и окончания работ по инвентаризации мест захоронения;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 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Общие правила проведения инвентаризации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мест захоронений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3.1. Инвентаризация мест захоронений на кладбищах проводится администрацией </w:t>
      </w:r>
      <w:r>
        <w:rPr>
          <w:rFonts w:ascii="Times New Roman" w:hAnsi="Times New Roman"/>
          <w:sz w:val="24"/>
          <w:szCs w:val="24"/>
        </w:rPr>
        <w:t>в форме выездного обследования (осмотра)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непосредственно на кладбище.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3.2. Администрацией, создается инвентаризационная комиссия по проведению инвентаризации мест захоронений на кладбищах (далее по тексту – инвентаризационная комиссия), состав которой определяется руководителем администрации.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состав инвентаризационной комиссии включаются: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председатель комиссии;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заместитель председателя комиссии;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члены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представители специализированной службы по вопросам похоронного дела.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3.3. До начала проведения инвентаризации мест захоронений на соответствующем кладбище инвентаризационной комиссии надлежит: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3.3.1.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3.3.2.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3.4.1 При проведении инвентаризации захоронений комиссией по проведению инвентаризации мест захоронений на кладбищах заполняется форма, приведенная в приложении № 1 к настоящему Порядку.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3.4.2 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3.4.3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3.4.4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3.4.5.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3.4.6.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3.4.7.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3.4.8.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3.4.9.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Порядок оформления результатов инвентаризации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5.1. 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Формирование единого электронного документа о местах захоронений на кладбищах, расположенных на территории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осуществляется в формате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xcel.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Перечень и структура полей для заполнения в едином электронном документе указаны в приложении 4 к настоящему Порядку.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Результаты проведения инвентаризации захоронений отражаются в акте (приложение 3 к Порядку).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6. Использование полученной информации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 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информация о неблагоустроенных (брошенных) захоронениях;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предложения по планированию территории кладбищ;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 предложения по созданию на территории кладбищ зон захоронений определенных видов;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предложения по закрытию и созданию новых кладбищ;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 предложения по привлечению лиц, ответственных за нарушение законодательства о погребении и похоронном деле к ответственности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6.2. Указанная в п. 6.1 настоящего порядка аналитическая информация утверждается распоряжением администрации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подлежит опубликованию в соответствии с утвержденным порядком, действующим на территории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муниципального образования – Гусевское городское поселение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№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Hlk12503450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bookmarkStart w:id="1" w:name="_Hlk12503450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11.12.2023 №125/1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ИНВЕНТАРИЗАЦИОННАЯ ОПИСЬ №____________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 захоронений на кладбищах, расположенных на территории  </w:t>
      </w:r>
      <w:bookmarkStart w:id="2" w:name="__DdeLink__15491_3968185095"/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муниципального образования – Гусевское городское поселение</w:t>
      </w:r>
      <w:bookmarkEnd w:id="2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кладбища, место его расположения)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288" w:type="dxa"/>
        <w:jc w:val="left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0"/>
        <w:gridCol w:w="1230"/>
        <w:gridCol w:w="885"/>
        <w:gridCol w:w="900"/>
        <w:gridCol w:w="1305"/>
        <w:gridCol w:w="690"/>
        <w:gridCol w:w="690"/>
        <w:gridCol w:w="885"/>
        <w:gridCol w:w="1215"/>
        <w:gridCol w:w="858"/>
      </w:tblGrid>
      <w:tr>
        <w:trPr>
          <w:trHeight w:val="2466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кладбища, место его расположения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захоронений (могил)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захоронения (одиночное, родственное, воинское, почетное, семейное (родовое), урна с прахом)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 умершего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краткое описание захоронения, позволяющее его идентифицировать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Дата рождения умершего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Дата смерти умершего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 (памятник, крест)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(**)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захоронения, указанный на регистрационном знаке (табличке)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(*)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(***)</w:t>
            </w:r>
          </w:p>
        </w:tc>
      </w:tr>
      <w:tr>
        <w:trPr>
          <w:trHeight w:val="412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>
        <w:trPr>
          <w:trHeight w:val="412" w:hRule="atLeast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>
          <w:trHeight w:val="608" w:hRule="atLeast"/>
        </w:trPr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Итого по описи: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количество мест захоронений всего по инвентаризационной описи 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единиц (_____) (прописью);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количество захоронений, зарегистрированных в книге регистрации мест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захоронений ___________ единиц (___________) (прописью);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количество захоронений, не зарегистрированных в книге регистрации мест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захоронений ___________ единиц (__________) (прописью);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количество мест захоронений, содержание которых не осуществляется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 единиц (______) (прописью)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инвентаризационной комиссии: 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инвентаризационной комиссии: 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подписи, дата)</w:t>
      </w:r>
      <w:bookmarkStart w:id="3" w:name="_Hlk114433046"/>
      <w:bookmarkEnd w:id="3"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инвентаризационной комиссии: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подписи, дата)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8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захоронения», ставится прочерк «-»</w:t>
      </w:r>
    </w:p>
    <w:p>
      <w:pPr>
        <w:pStyle w:val="Normal"/>
        <w:spacing w:lineRule="auto" w:line="240" w:before="0" w:after="0"/>
        <w:ind w:firstLine="28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 </w:t>
      </w:r>
    </w:p>
    <w:p>
      <w:pPr>
        <w:pStyle w:val="Normal"/>
        <w:spacing w:lineRule="auto" w:line="240" w:before="0" w:after="0"/>
        <w:ind w:firstLine="28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 </w:t>
      </w:r>
    </w:p>
    <w:p>
      <w:pPr>
        <w:pStyle w:val="Normal"/>
        <w:spacing w:lineRule="auto" w:line="240" w:before="0" w:after="0"/>
        <w:ind w:firstLine="28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11.12.2023 №125/1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ВЕДОМОСТЬ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РЕЗУЛЬТАТОВ, ВЫЯВЛЕННЫХ ИНВЕНТАРИЗАЦИЕЙ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jc w:val="lef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2"/>
        <w:gridCol w:w="1473"/>
        <w:gridCol w:w="3483"/>
        <w:gridCol w:w="3551"/>
      </w:tblGrid>
      <w:tr>
        <w:trPr/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Виды захоронений </w:t>
            </w:r>
          </w:p>
        </w:tc>
        <w:tc>
          <w:tcPr>
            <w:tcW w:w="7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Результат, выявленный инвентаризацией 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Члены комиссии: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№ 3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11.12.2023 №125/1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РЕЗУЛЬТАТАХ ПРОВЕДЕНИЯ ИНВЕНТАРИЗАЦИИ КЛАДБИЩ И МЕСТ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ЗАХОРОНЕНИЙ НА НИХ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(название кладбища, место его расположения)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ходе проведения инвентаризации кладбищ и мест захоронений на них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комиссией в составе 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выявлено: 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Члены комиссии: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  <w:br/>
      </w:r>
    </w:p>
    <w:p>
      <w:pPr>
        <w:pStyle w:val="Normal"/>
        <w:rPr>
          <w:rFonts w:ascii="Times New Roman" w:hAnsi="Times New Roman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11.12.2023 №125/1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ПОЛЕЙ ДЛЯ ЗАПОЛНЕНИЯ В ЭЛЕКТРОННОМ ДОКУМЕНТЕ О МЕСТАХ ЗАХОРОНЕНИЙ НА КЛАДБИЩАХ, РАСПОЛОЖЕННЫХ НА ТЕРРИТОРИИ </w:t>
      </w:r>
      <w:r>
        <w:rPr>
          <w:rFonts w:eastAsia="Times New Roman" w:cs="Times New Roman" w:ascii="Times New Roman" w:hAnsi="Times New Roman"/>
          <w:iCs/>
          <w:sz w:val="22"/>
          <w:szCs w:val="22"/>
          <w:lang w:eastAsia="ru-RU"/>
        </w:rPr>
        <w:t>муниципального образования – Гусевское городское поселение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990" w:type="dxa"/>
        <w:jc w:val="left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9420"/>
      </w:tblGrid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поля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кладбища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Фамилия, имя, отчество умершего &lt;4&gt;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рождения, дата смерти умершего &lt;5&gt;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Способ погребения умершего (гробом, урна с прахом)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  <w:bookmarkStart w:id="4" w:name="_GoBack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места захоронения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--------------------------------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&lt;4&gt; -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 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&lt;5&gt; -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 </w:t>
      </w:r>
    </w:p>
    <w:sectPr>
      <w:type w:val="nextPage"/>
      <w:pgSz w:w="11906" w:h="16838"/>
      <w:pgMar w:left="1395" w:right="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rFonts w:ascii="Times New Roman" w:hAnsi="Times New Roman" w:cs="Symbol"/>
      <w:sz w:val="28"/>
    </w:rPr>
  </w:style>
  <w:style w:type="character" w:styleId="ListLabel39">
    <w:name w:val="ListLabel 39"/>
    <w:qFormat/>
    <w:rPr>
      <w:rFonts w:cs="Symbol"/>
      <w:sz w:val="20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cs="Symbol"/>
      <w:sz w:val="20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ascii="Times New Roman" w:hAnsi="Times New Roman" w:cs="Symbol"/>
      <w:sz w:val="28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ascii="Times New Roman" w:hAnsi="Times New Roman" w:cs="Symbol"/>
      <w:sz w:val="28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Symbol"/>
      <w:sz w:val="20"/>
    </w:rPr>
  </w:style>
  <w:style w:type="character" w:styleId="ListLabel60">
    <w:name w:val="ListLabel 60"/>
    <w:qFormat/>
    <w:rPr>
      <w:rFonts w:cs="Symbol"/>
      <w:sz w:val="20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Symbol"/>
      <w:sz w:val="20"/>
    </w:rPr>
  </w:style>
  <w:style w:type="character" w:styleId="ListLabel63">
    <w:name w:val="ListLabel 63"/>
    <w:qFormat/>
    <w:rPr>
      <w:rFonts w:cs="Symbol"/>
      <w:sz w:val="20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ascii="Times New Roman" w:hAnsi="Times New Roman" w:cs="Symbol"/>
      <w:sz w:val="28"/>
    </w:rPr>
  </w:style>
  <w:style w:type="character" w:styleId="ListLabel66">
    <w:name w:val="ListLabel 66"/>
    <w:qFormat/>
    <w:rPr>
      <w:rFonts w:cs="Symbol"/>
      <w:sz w:val="20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Symbol"/>
      <w:sz w:val="20"/>
    </w:rPr>
  </w:style>
  <w:style w:type="character" w:styleId="ListLabel69">
    <w:name w:val="ListLabel 69"/>
    <w:qFormat/>
    <w:rPr>
      <w:rFonts w:cs="Symbol"/>
      <w:sz w:val="20"/>
    </w:rPr>
  </w:style>
  <w:style w:type="character" w:styleId="ListLabel70">
    <w:name w:val="ListLabel 70"/>
    <w:qFormat/>
    <w:rPr>
      <w:rFonts w:cs="Symbol"/>
      <w:sz w:val="20"/>
    </w:rPr>
  </w:style>
  <w:style w:type="character" w:styleId="ListLabel71">
    <w:name w:val="ListLabel 71"/>
    <w:qFormat/>
    <w:rPr>
      <w:rFonts w:cs="Symbol"/>
      <w:sz w:val="20"/>
    </w:rPr>
  </w:style>
  <w:style w:type="character" w:styleId="ListLabel72">
    <w:name w:val="ListLabel 72"/>
    <w:qFormat/>
    <w:rPr>
      <w:rFonts w:cs="Symbol"/>
      <w:sz w:val="20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ascii="Times New Roman" w:hAnsi="Times New Roman" w:eastAsia="Times New Roman" w:cs="Times New Roman"/>
      <w:sz w:val="28"/>
      <w:szCs w:val="28"/>
      <w:u w:val="none"/>
      <w:lang w:eastAsia="ru-RU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8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LibreOffice/6.0.5.2$Windows_x86 LibreOffice_project/54c8cbb85f300ac59db32fe8a675ff7683cd5a16</Application>
  <Pages>10</Pages>
  <Words>2466</Words>
  <Characters>19534</Characters>
  <CharactersWithSpaces>22501</CharactersWithSpaces>
  <Paragraphs>291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2023-12-08T11:04:00Z</dcterms:created>
  <dc:creator>Glava</dc:creator>
  <dc:description/>
  <dc:language>ru-RU</dc:language>
  <cp:lastModifiedBy/>
  <cp:lastPrinted>2023-12-26T14:58:17Z</cp:lastPrinted>
  <dcterms:modified xsi:type="dcterms:W3CDTF">2023-12-26T15:26:57Z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