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85" w:rsidRDefault="0093028D" w:rsidP="0093028D">
      <w:pPr>
        <w:pStyle w:val="a3"/>
        <w:spacing w:after="0"/>
        <w:ind w:left="0" w:right="0" w:firstLine="567"/>
        <w:jc w:val="center"/>
      </w:pPr>
      <w:r w:rsidRPr="0093028D">
        <w:rPr>
          <w:noProof/>
          <w:lang w:eastAsia="ru-RU" w:bidi="ar-SA"/>
        </w:rPr>
        <w:drawing>
          <wp:inline distT="0" distB="0" distL="0" distR="0">
            <wp:extent cx="58102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28D" w:rsidRDefault="0093028D" w:rsidP="0093028D">
      <w:pPr>
        <w:pStyle w:val="a3"/>
        <w:spacing w:after="0"/>
        <w:ind w:left="0" w:right="0"/>
        <w:jc w:val="both"/>
      </w:pPr>
    </w:p>
    <w:p w:rsidR="00804685" w:rsidRDefault="000204E9">
      <w:pPr>
        <w:pStyle w:val="a3"/>
        <w:spacing w:after="0"/>
        <w:ind w:left="0" w:right="0" w:firstLine="567"/>
        <w:jc w:val="center"/>
      </w:pPr>
      <w:r>
        <w:t>АДМИНИСТРАЦИЯ СЕЛЬСКОГО ПОСЕЛЕНИЯ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БОРИНСКИЙ СЕЛЬСОВЕТ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ЛИПЕЦКОГО МУНИЦИПАЛЬНОГО РАЙОНА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ЛИПЕЦКОЙ ОБЛАСТИ</w:t>
      </w:r>
    </w:p>
    <w:p w:rsidR="00F63E91" w:rsidRDefault="00F63E91">
      <w:pPr>
        <w:pStyle w:val="a3"/>
        <w:spacing w:after="0"/>
        <w:ind w:left="0" w:right="0" w:firstLine="567"/>
        <w:jc w:val="center"/>
      </w:pPr>
    </w:p>
    <w:p w:rsidR="00804685" w:rsidRDefault="000204E9">
      <w:pPr>
        <w:pStyle w:val="a3"/>
        <w:spacing w:after="0"/>
        <w:ind w:left="0" w:right="0" w:firstLine="567"/>
        <w:jc w:val="center"/>
      </w:pPr>
      <w:r>
        <w:t>ПОСТАНОВЛЕНИЕ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CC02A3">
      <w:pPr>
        <w:pStyle w:val="a3"/>
        <w:spacing w:after="0"/>
        <w:ind w:left="0" w:right="0" w:firstLine="567"/>
        <w:jc w:val="center"/>
      </w:pPr>
      <w:r>
        <w:t xml:space="preserve">10.10.2022г. </w:t>
      </w:r>
      <w:r w:rsidR="000204E9">
        <w:t xml:space="preserve">                                                                           </w:t>
      </w:r>
      <w:r>
        <w:t>                          № 133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утверждении Порядка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</w:t>
      </w:r>
      <w:r w:rsidR="00F63E91">
        <w:rPr>
          <w:rFonts w:ascii="Arial" w:hAnsi="Arial"/>
          <w:sz w:val="32"/>
        </w:rPr>
        <w:t xml:space="preserve"> Липецкой области</w:t>
      </w:r>
      <w:r>
        <w:rPr>
          <w:rFonts w:ascii="Arial" w:hAnsi="Arial"/>
          <w:sz w:val="32"/>
        </w:rPr>
        <w:t xml:space="preserve"> и об использовании закрепленного за ними муниципального имущества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both"/>
      </w:pPr>
      <w:r>
        <w:t>Рассмотрев представление прокуратуры Липецкого района о</w:t>
      </w:r>
      <w:hyperlink r:id="rId5">
        <w:r>
          <w:rPr>
            <w:rStyle w:val="InternetLink"/>
            <w:color w:val="0000FF"/>
            <w:u w:val="none"/>
          </w:rPr>
          <w:t>т 28.09.2022 №</w:t>
        </w:r>
        <w:r w:rsidR="00F63E91">
          <w:rPr>
            <w:rStyle w:val="InternetLink"/>
            <w:color w:val="0000FF"/>
            <w:u w:val="none"/>
          </w:rPr>
          <w:t xml:space="preserve"> </w:t>
        </w:r>
        <w:proofErr w:type="gramStart"/>
        <w:r>
          <w:rPr>
            <w:rStyle w:val="InternetLink"/>
            <w:color w:val="0000FF"/>
            <w:u w:val="none"/>
          </w:rPr>
          <w:t>23-2022</w:t>
        </w:r>
        <w:proofErr w:type="gramEnd"/>
      </w:hyperlink>
      <w:r>
        <w:t> об устранении нарушений законодательства в сфере муниципальной собственности, в соответствии с </w:t>
      </w:r>
      <w:hyperlink r:id="rId6">
        <w:r>
          <w:rPr>
            <w:rStyle w:val="InternetLink"/>
            <w:color w:val="0000FF"/>
            <w:u w:val="none"/>
          </w:rPr>
          <w:t>п. 3 ч. 1 ст.14, ч.3 ст.14 Федерального закона от 06.10.2003 № 131-ФЗ</w:t>
        </w:r>
      </w:hyperlink>
      <w:r>
        <w:t xml:space="preserve"> "Об общих принципах организации местного самоуправления в Российской Федерации",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both"/>
      </w:pPr>
      <w:r>
        <w:t>ПОСТАНОВЛЯЕТ: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1. Утвердить Порядок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</w:t>
      </w:r>
      <w:r w:rsidR="00F63E91">
        <w:t>а</w:t>
      </w:r>
      <w:r>
        <w:t xml:space="preserve"> Липецкой области и об использовании закрепленного за ними муниципального имущества (согласно приложению).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Липецкой области в информационно-телекоммуникационной сети "Интернет"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3. Настоящее постановление вступает в силу со дня его официального обнародования.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9168B0" w:rsidRDefault="000204E9">
      <w:pPr>
        <w:pStyle w:val="a3"/>
        <w:spacing w:after="0"/>
        <w:ind w:left="0" w:right="0" w:firstLine="567"/>
        <w:jc w:val="both"/>
      </w:pPr>
      <w:r>
        <w:t>Глава администрации сельского поселения</w:t>
      </w:r>
    </w:p>
    <w:p w:rsidR="00804685" w:rsidRDefault="000204E9">
      <w:pPr>
        <w:pStyle w:val="a3"/>
        <w:spacing w:after="0"/>
        <w:ind w:left="0" w:right="0" w:firstLine="567"/>
        <w:jc w:val="both"/>
      </w:pPr>
      <w:proofErr w:type="spellStart"/>
      <w:r>
        <w:t>Боринский</w:t>
      </w:r>
      <w:proofErr w:type="spellEnd"/>
      <w:r>
        <w:t xml:space="preserve"> сельсовет</w:t>
      </w:r>
      <w:r w:rsidR="009168B0">
        <w:t xml:space="preserve">                                                       Е.В. Воропаева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88759E" w:rsidRDefault="0088759E">
      <w:pPr>
        <w:pStyle w:val="a3"/>
        <w:spacing w:after="0"/>
        <w:ind w:left="0" w:right="0" w:firstLine="567"/>
        <w:jc w:val="both"/>
      </w:pPr>
    </w:p>
    <w:p w:rsidR="0088759E" w:rsidRDefault="0088759E">
      <w:pPr>
        <w:pStyle w:val="a3"/>
        <w:spacing w:after="0"/>
        <w:ind w:left="0" w:right="0" w:firstLine="567"/>
        <w:jc w:val="both"/>
      </w:pPr>
    </w:p>
    <w:p w:rsidR="009168B0" w:rsidRDefault="009168B0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/>
        <w:jc w:val="both"/>
      </w:pPr>
      <w:r>
        <w:t xml:space="preserve">Приложение к постановлению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  <w:r w:rsidR="00F63E91">
        <w:t xml:space="preserve"> Липецкой области</w:t>
      </w:r>
      <w:r>
        <w:t xml:space="preserve"> от </w:t>
      </w:r>
      <w:r w:rsidR="00CC02A3">
        <w:t>10.10.2022г.</w:t>
      </w:r>
      <w:r>
        <w:t xml:space="preserve"> № </w:t>
      </w:r>
      <w:r w:rsidR="00CC02A3">
        <w:t>133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 xml:space="preserve">Порядок составления и утверждения отчета о результатах деятельности муниципальных учреждений сельского поселения </w:t>
      </w:r>
      <w:proofErr w:type="spellStart"/>
      <w:r>
        <w:rPr>
          <w:sz w:val="28"/>
        </w:rPr>
        <w:t>Боринский</w:t>
      </w:r>
      <w:proofErr w:type="spellEnd"/>
      <w:r>
        <w:rPr>
          <w:sz w:val="28"/>
        </w:rPr>
        <w:t xml:space="preserve"> сельсовет Липецкого муниципального района</w:t>
      </w:r>
      <w:r w:rsidR="00F63E91">
        <w:rPr>
          <w:sz w:val="28"/>
        </w:rPr>
        <w:t xml:space="preserve"> Липецкой области</w:t>
      </w:r>
      <w:r>
        <w:rPr>
          <w:sz w:val="28"/>
        </w:rPr>
        <w:t xml:space="preserve"> и об использовании закрепленного за ними муниципального имущества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Настоящий Порядок устанавливает требования к составлению и утверждению отчетов о результатах деятельности муниципальных казенных, бюджетных и автономных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  <w:r w:rsidR="00F63E91">
        <w:t xml:space="preserve"> Липецкой области</w:t>
      </w:r>
      <w:r>
        <w:t xml:space="preserve"> (далее - сельское поселение), в отношении которых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  <w:r w:rsidR="00F63E91">
        <w:t xml:space="preserve"> Липецкой области</w:t>
      </w:r>
      <w:r>
        <w:t xml:space="preserve"> осуществляет функции и полномочия учредителя (далее - Администрация), и об использовании закрепленного за ними муниципального имущества (далее - Отчет).</w:t>
      </w:r>
      <w:proofErr w:type="gramEnd"/>
    </w:p>
    <w:p w:rsidR="00804685" w:rsidRDefault="000204E9">
      <w:pPr>
        <w:pStyle w:val="a3"/>
        <w:spacing w:after="0"/>
        <w:ind w:left="0" w:right="0" w:firstLine="567"/>
        <w:jc w:val="both"/>
      </w:pPr>
      <w:r>
        <w:t>2. Отчет Учреждениями составляется в соответствии с настоящим Порядком по форме согласно Приложению (</w:t>
      </w:r>
      <w:proofErr w:type="gramStart"/>
      <w:r>
        <w:t>бюджетное</w:t>
      </w:r>
      <w:proofErr w:type="gramEnd"/>
      <w:r>
        <w:t>) к настоящему Порядку.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3. </w:t>
      </w:r>
      <w:proofErr w:type="gramStart"/>
      <w:r>
        <w:t>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 </w:t>
      </w:r>
      <w:hyperlink r:id="rId7">
        <w:r>
          <w:rPr>
            <w:rStyle w:val="InternetLink"/>
            <w:color w:val="0000FF"/>
            <w:u w:val="none"/>
          </w:rPr>
          <w:t>от 18.10.2007 № 684</w:t>
        </w:r>
      </w:hyperlink>
      <w:r>
        <w:t> "Об утверждении Правил опубликования отчетов о деятельности автономного учреждения и об использовании закрепленного за ним имущества" (далее - Правила № 684).</w:t>
      </w:r>
      <w:proofErr w:type="gramEnd"/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4. Отчет ежегодно составляется Учреждениями по состоянию на 1 января года, следующего за </w:t>
      </w:r>
      <w:proofErr w:type="gramStart"/>
      <w:r>
        <w:t>отчетным</w:t>
      </w:r>
      <w:proofErr w:type="gramEnd"/>
      <w:r>
        <w:t xml:space="preserve"> в валюте Российской Федерации (в части показателей в денежном выражении).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5. Отчет предоставляется одновременно на бумажном носителе и в электронном виде.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6. Отчет составляется в разрезе следующих разделов: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раздел 1 "Общие сведения об учреждении";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раздел 2 "Результат деятельности учреждения";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раздел 3 "Об использовании имущества, закрепленного за учреждением".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7. В разделе 1 "Общие сведения об учреждении" указываются: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установленная численность в соответствии с утвержденным штатным расписанием учреждения (для бюджетных и автономных учреждений);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средняя заработная плата сотрудников учреждения, в том числе: руководителей; заместителей руководителей; специалистов.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8. В разделе 2 "Результат деятельности учреждения" указываются: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- План ФХД)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суммы доходов, полученных учреждением от оказания платных услуг (выполнения работ), при осуществлении основных видов деятельности сверх муниципального задания, при осуществлении иных видов деятельности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сведения об исполнении муниципального задания на оказание муниципальных услуг (выполнение работ) (для бюджетных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сведения об оказании учреждениями муниципальных услуг (выполнении работ) (для бюджетных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цены (тарифы) на платные услуги (работы), оказываемые потребителям (в динамике в течение отчетного периода);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количество жалоб потребителей и принятые по результатам их рассмотрения меры.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Бюджетными и автономными учреждениями дополнительно указываются: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суммы кассовых и плановых поступлений (с учетом возвратов) в разрезе поступлений, предусмотренных Планом ФХД;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суммы кассовых и плановых выплат (с учетом восстановленных кассовых выплат) в разрезе выплат, предусмотренных Планом ФХД.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Казенными учреждениями дополнительно указываются: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показатели кассового исполнения бюджетной сметы Учреждения;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показатели доведенных Учреждению лимитов бюджетных обязательств.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В разделе 2 "Результат деятельности учреждения" Учреждение включает информацию об осуществлении им полномочий Администрации по исполнению публичных обязательств перед физическим лицом, подлежащих исполнению в денежной форме.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В разделе 2 "Результат деятельности учреждения" по решению Администрации могут включаться также иные сведения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9. В разделе 3 "Об использовании имущества, закрепленного за учреждением" бюджетными и казенными учреждениями указывается на начало и конец отчетного года: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количество объектов недвижимого имущества, находящегося у Учреждения на праве оперативного управления;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Бюджетными учреждениями дополнительно указываются: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средств, выделенных Администрацией Учреждению на указанные цели;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Раздел 3 "Об использовании имущества, закрепленного за учреждением" автономными учреждениями составляется в порядке, установленном </w:t>
      </w:r>
      <w:hyperlink r:id="rId8">
        <w:r>
          <w:rPr>
            <w:rStyle w:val="InternetLink"/>
            <w:color w:val="0000FF"/>
            <w:u w:val="none"/>
          </w:rPr>
          <w:t>Правилами №684 </w:t>
        </w:r>
      </w:hyperlink>
      <w:r>
        <w:t>и должен содержать данные за каждый из двух предшествующих опубликованию лет.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В разделе 3 "Об использовании имущества, закрепленного за учреждением" по решению Администрации могут включаться также иные сведения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10. Отчеты автономных учреждений утверждаются наблюдательным советом автономного учреждения по представлению руководителя автономного учреждения в порядке, установленным статьей 11 Федерального закона </w:t>
      </w:r>
      <w:hyperlink r:id="rId9">
        <w:r>
          <w:rPr>
            <w:rStyle w:val="InternetLink"/>
            <w:color w:val="0000FF"/>
            <w:u w:val="none"/>
          </w:rPr>
          <w:t>от 03.11.2006 № 174-ФЗ</w:t>
        </w:r>
      </w:hyperlink>
      <w:r>
        <w:t> "Об автономных учреждениях".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11. Отчеты бюджетных и казенных учреждений утверждаются руководителями Учреждений и представляются в срок не позднее 15 февраля года, следующего </w:t>
      </w:r>
      <w:proofErr w:type="gramStart"/>
      <w:r>
        <w:t>за</w:t>
      </w:r>
      <w:proofErr w:type="gramEnd"/>
      <w:r>
        <w:t xml:space="preserve"> отчетным, в Администрацию на согласование.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>12. Администрация рассматривает и согласовывает отчет либо возвращает на доработку с указанием причин, послуживших основанием для его возврата в срок не более 15 дней с момента получения.</w:t>
      </w:r>
    </w:p>
    <w:p w:rsidR="00804685" w:rsidRDefault="000204E9">
      <w:pPr>
        <w:pStyle w:val="a3"/>
        <w:spacing w:after="0"/>
        <w:ind w:left="0" w:right="0" w:firstLine="567"/>
        <w:jc w:val="both"/>
      </w:pPr>
      <w:r>
        <w:t xml:space="preserve">13. Согласованный отчет Учреждения размещается на официальном сайте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 с обнародованием в соответствии с Уставом поселения.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/>
        <w:jc w:val="both"/>
      </w:pPr>
      <w:r>
        <w:t xml:space="preserve">Приложение к Порядку составления и утверждения отчетов о результатах деятельности муниципальных учреждений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</w:t>
      </w:r>
      <w:r w:rsidR="00F63E91">
        <w:t xml:space="preserve"> Липецкой области</w:t>
      </w:r>
      <w:r>
        <w:t xml:space="preserve"> и об использовании закрепленного ними муниципального имущества 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Pr="005417C4" w:rsidRDefault="000204E9" w:rsidP="005417C4">
      <w:pPr>
        <w:pStyle w:val="a3"/>
        <w:spacing w:after="0"/>
        <w:ind w:left="0" w:right="0" w:firstLine="567"/>
        <w:rPr>
          <w:sz w:val="18"/>
          <w:szCs w:val="18"/>
        </w:rPr>
      </w:pPr>
      <w:r w:rsidRPr="005417C4">
        <w:rPr>
          <w:sz w:val="18"/>
          <w:szCs w:val="18"/>
        </w:rPr>
        <w:t xml:space="preserve">СОГЛАСОВАНО:                                                                                         </w:t>
      </w:r>
      <w:r w:rsidR="009168B0" w:rsidRPr="005417C4">
        <w:rPr>
          <w:sz w:val="18"/>
          <w:szCs w:val="18"/>
        </w:rPr>
        <w:t xml:space="preserve">       </w:t>
      </w:r>
      <w:r w:rsidR="0093028D" w:rsidRPr="005417C4">
        <w:rPr>
          <w:sz w:val="18"/>
          <w:szCs w:val="18"/>
        </w:rPr>
        <w:t xml:space="preserve">   </w:t>
      </w:r>
      <w:r w:rsidRPr="005417C4">
        <w:rPr>
          <w:sz w:val="18"/>
          <w:szCs w:val="18"/>
        </w:rPr>
        <w:t>УТВЕРЖДАЮ:</w:t>
      </w:r>
    </w:p>
    <w:p w:rsidR="00804685" w:rsidRPr="005417C4" w:rsidRDefault="000204E9" w:rsidP="005417C4">
      <w:pPr>
        <w:pStyle w:val="a3"/>
        <w:spacing w:after="0"/>
        <w:ind w:left="0" w:right="0" w:firstLine="567"/>
        <w:rPr>
          <w:sz w:val="18"/>
          <w:szCs w:val="18"/>
        </w:rPr>
      </w:pPr>
      <w:r w:rsidRPr="005417C4">
        <w:rPr>
          <w:sz w:val="18"/>
          <w:szCs w:val="18"/>
        </w:rPr>
        <w:t>__________________________________                                                      </w:t>
      </w:r>
      <w:r w:rsidR="009168B0" w:rsidRPr="005417C4">
        <w:rPr>
          <w:sz w:val="18"/>
          <w:szCs w:val="18"/>
        </w:rPr>
        <w:t xml:space="preserve"> </w:t>
      </w:r>
      <w:r w:rsidRPr="005417C4">
        <w:rPr>
          <w:sz w:val="18"/>
          <w:szCs w:val="18"/>
        </w:rPr>
        <w:t>___________________________________</w:t>
      </w:r>
    </w:p>
    <w:p w:rsidR="00804685" w:rsidRPr="005417C4" w:rsidRDefault="000204E9" w:rsidP="005417C4">
      <w:pPr>
        <w:pStyle w:val="a3"/>
        <w:spacing w:after="0"/>
        <w:ind w:left="0" w:right="0" w:firstLine="567"/>
        <w:rPr>
          <w:sz w:val="18"/>
          <w:szCs w:val="18"/>
        </w:rPr>
      </w:pPr>
      <w:r w:rsidRPr="005417C4">
        <w:rPr>
          <w:sz w:val="18"/>
          <w:szCs w:val="18"/>
        </w:rPr>
        <w:t xml:space="preserve">(наименование должности, </w:t>
      </w:r>
      <w:proofErr w:type="gramStart"/>
      <w:r w:rsidRPr="005417C4">
        <w:rPr>
          <w:sz w:val="18"/>
          <w:szCs w:val="18"/>
        </w:rPr>
        <w:t>утвердившего</w:t>
      </w:r>
      <w:proofErr w:type="gramEnd"/>
      <w:r w:rsidRPr="005417C4">
        <w:rPr>
          <w:sz w:val="18"/>
          <w:szCs w:val="18"/>
        </w:rPr>
        <w:t xml:space="preserve"> документ)                    </w:t>
      </w:r>
      <w:r w:rsidR="0093028D" w:rsidRPr="005417C4">
        <w:rPr>
          <w:sz w:val="18"/>
          <w:szCs w:val="18"/>
        </w:rPr>
        <w:t xml:space="preserve">    </w:t>
      </w:r>
      <w:r w:rsidR="009168B0" w:rsidRPr="005417C4">
        <w:rPr>
          <w:sz w:val="18"/>
          <w:szCs w:val="18"/>
        </w:rPr>
        <w:t xml:space="preserve">       </w:t>
      </w:r>
      <w:r w:rsidRPr="005417C4">
        <w:rPr>
          <w:sz w:val="18"/>
          <w:szCs w:val="18"/>
        </w:rPr>
        <w:t xml:space="preserve"> (наименование должности, утвердившего документ)</w:t>
      </w:r>
    </w:p>
    <w:p w:rsidR="00804685" w:rsidRPr="005417C4" w:rsidRDefault="000204E9" w:rsidP="005417C4">
      <w:pPr>
        <w:pStyle w:val="a3"/>
        <w:spacing w:after="0"/>
        <w:ind w:left="0" w:right="0" w:firstLine="567"/>
        <w:rPr>
          <w:sz w:val="18"/>
          <w:szCs w:val="18"/>
        </w:rPr>
      </w:pPr>
      <w:r w:rsidRPr="005417C4">
        <w:rPr>
          <w:sz w:val="18"/>
          <w:szCs w:val="18"/>
        </w:rPr>
        <w:t>__________________________________                        </w:t>
      </w:r>
      <w:r w:rsidR="009168B0" w:rsidRPr="005417C4">
        <w:rPr>
          <w:sz w:val="18"/>
          <w:szCs w:val="18"/>
        </w:rPr>
        <w:t xml:space="preserve">                               </w:t>
      </w:r>
      <w:r w:rsidRPr="005417C4">
        <w:rPr>
          <w:sz w:val="18"/>
          <w:szCs w:val="18"/>
        </w:rPr>
        <w:t>___________________________________</w:t>
      </w:r>
    </w:p>
    <w:p w:rsidR="00804685" w:rsidRPr="005417C4" w:rsidRDefault="000204E9" w:rsidP="005417C4">
      <w:pPr>
        <w:pStyle w:val="a3"/>
        <w:spacing w:after="0"/>
        <w:ind w:left="0" w:right="0" w:firstLine="567"/>
        <w:rPr>
          <w:sz w:val="18"/>
          <w:szCs w:val="18"/>
        </w:rPr>
      </w:pPr>
      <w:r w:rsidRPr="005417C4">
        <w:rPr>
          <w:sz w:val="18"/>
          <w:szCs w:val="18"/>
        </w:rPr>
        <w:t>(подпись)                 (расшифровка подписи)                                        </w:t>
      </w:r>
      <w:r w:rsidR="009168B0" w:rsidRPr="005417C4">
        <w:rPr>
          <w:sz w:val="18"/>
          <w:szCs w:val="18"/>
        </w:rPr>
        <w:t xml:space="preserve">         </w:t>
      </w:r>
      <w:r w:rsidRPr="005417C4">
        <w:rPr>
          <w:sz w:val="18"/>
          <w:szCs w:val="18"/>
        </w:rPr>
        <w:t xml:space="preserve"> (подпись)                          (расшифровка подписи)</w:t>
      </w:r>
    </w:p>
    <w:p w:rsidR="00804685" w:rsidRPr="005417C4" w:rsidRDefault="009168B0" w:rsidP="005417C4">
      <w:pPr>
        <w:pStyle w:val="a3"/>
        <w:spacing w:after="0"/>
        <w:ind w:left="0" w:right="0"/>
        <w:rPr>
          <w:sz w:val="18"/>
          <w:szCs w:val="18"/>
        </w:rPr>
      </w:pPr>
      <w:r w:rsidRPr="005417C4">
        <w:rPr>
          <w:sz w:val="18"/>
          <w:szCs w:val="18"/>
        </w:rPr>
        <w:t xml:space="preserve">       </w:t>
      </w:r>
      <w:r w:rsidR="000204E9" w:rsidRPr="005417C4">
        <w:rPr>
          <w:sz w:val="18"/>
          <w:szCs w:val="18"/>
        </w:rPr>
        <w:t> "_______"______________________20____                                                  "_______"______________________20____г</w:t>
      </w:r>
    </w:p>
    <w:p w:rsidR="00804685" w:rsidRPr="005417C4" w:rsidRDefault="00804685" w:rsidP="005417C4">
      <w:pPr>
        <w:pStyle w:val="a3"/>
        <w:spacing w:after="0"/>
        <w:ind w:left="0" w:right="0" w:firstLine="567"/>
        <w:rPr>
          <w:sz w:val="18"/>
          <w:szCs w:val="18"/>
        </w:rPr>
      </w:pPr>
    </w:p>
    <w:p w:rsidR="0093028D" w:rsidRDefault="0093028D">
      <w:pPr>
        <w:pStyle w:val="a3"/>
        <w:spacing w:after="0"/>
        <w:ind w:left="0" w:right="0" w:firstLine="567"/>
        <w:jc w:val="both"/>
      </w:pPr>
    </w:p>
    <w:p w:rsidR="003B67F0" w:rsidRDefault="003B67F0">
      <w:pPr>
        <w:pStyle w:val="a3"/>
        <w:spacing w:after="0"/>
        <w:ind w:left="0" w:right="0" w:firstLine="567"/>
        <w:jc w:val="both"/>
      </w:pPr>
    </w:p>
    <w:p w:rsidR="0093028D" w:rsidRDefault="0093028D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center"/>
      </w:pPr>
      <w:r>
        <w:t>Отчет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о результатах деятельности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муниципального бюджетного учреждения  _____________________________________________________________________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(полное наименование учреждения)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и об использовании закрепленного за ним муниципального имущества</w:t>
      </w:r>
    </w:p>
    <w:p w:rsidR="00804685" w:rsidRDefault="000204E9">
      <w:pPr>
        <w:pStyle w:val="a3"/>
        <w:spacing w:after="0"/>
        <w:ind w:left="0" w:right="0" w:firstLine="567"/>
        <w:jc w:val="center"/>
      </w:pPr>
      <w:r>
        <w:t>за ______ год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tbl>
      <w:tblPr>
        <w:tblW w:w="70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71" w:type="dxa"/>
          <w:bottom w:w="28" w:type="dxa"/>
          <w:right w:w="72" w:type="dxa"/>
        </w:tblCellMar>
        <w:tblLook w:val="0000"/>
      </w:tblPr>
      <w:tblGrid>
        <w:gridCol w:w="50"/>
        <w:gridCol w:w="495"/>
        <w:gridCol w:w="44"/>
        <w:gridCol w:w="1944"/>
        <w:gridCol w:w="463"/>
        <w:gridCol w:w="717"/>
        <w:gridCol w:w="456"/>
        <w:gridCol w:w="277"/>
        <w:gridCol w:w="488"/>
        <w:gridCol w:w="42"/>
        <w:gridCol w:w="441"/>
        <w:gridCol w:w="13"/>
        <w:gridCol w:w="1600"/>
        <w:gridCol w:w="37"/>
      </w:tblGrid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 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показателей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Значения показателей, содержание</w:t>
            </w: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Полное наименование учреждения                             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Сокращенное наименование учреждения                             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Место нахождения учреждения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Почтовый адрес учреждения  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Реквизиты (банковские) учреждения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706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Раздел 1. Общие сведения об учреждении</w:t>
            </w: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44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Перечень документов, на основании которых учреждение осуществляет деятельность</w:t>
            </w:r>
          </w:p>
        </w:tc>
        <w:tc>
          <w:tcPr>
            <w:tcW w:w="20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3.1.</w:t>
            </w:r>
          </w:p>
        </w:tc>
        <w:tc>
          <w:tcPr>
            <w:tcW w:w="3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документа</w:t>
            </w:r>
          </w:p>
        </w:tc>
        <w:tc>
          <w:tcPr>
            <w:tcW w:w="17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Реквизиты документа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Срок действия</w:t>
            </w: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2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7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 начало отчетного года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конец отчетного года</w:t>
            </w: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Установленная численность в соответствии с утвержденным штатным расписанием учреждения (ед.)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Фактическая численность учреждения (чел.)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5.1.</w:t>
            </w: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в том числе:</w:t>
            </w:r>
          </w:p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квалификация сотрудников учреждения (чел.), количество сотрудников, прошедших повышение квалификации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6.</w:t>
            </w: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Средняя заработная плата сотрудников учреждения, руб.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6.1</w:t>
            </w:r>
          </w:p>
        </w:tc>
        <w:tc>
          <w:tcPr>
            <w:tcW w:w="36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-средняя заработная плата руководителя, руб.</w:t>
            </w:r>
          </w:p>
        </w:tc>
        <w:tc>
          <w:tcPr>
            <w:tcW w:w="12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rPr>
          <w:gridAfter w:val="1"/>
          <w:wAfter w:w="44" w:type="dxa"/>
        </w:trPr>
        <w:tc>
          <w:tcPr>
            <w:tcW w:w="706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Раздел 2. Результат деятельности учреждения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Изменение (увеличение, уменьшение) балансовой (остаточной) стоимости нефинансовых активов относительно предыдущего отчетного года, из них: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1.1.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балансовая стоимость</w:t>
            </w:r>
          </w:p>
        </w:tc>
        <w:tc>
          <w:tcPr>
            <w:tcW w:w="2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% изменения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недвижимого имущества</w:t>
            </w:r>
          </w:p>
        </w:tc>
        <w:tc>
          <w:tcPr>
            <w:tcW w:w="2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39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особо ценного движимого имущества</w:t>
            </w:r>
          </w:p>
        </w:tc>
        <w:tc>
          <w:tcPr>
            <w:tcW w:w="2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4878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Сведения об изменении дебиторской и кредиторской задолженности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3.1.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Изменение дебиторской задолженности за отчетный год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Динамика, причины образования просроченной кредиторской задолженности, дебиторской задолженности, нереальной к взысканию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% изменения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поступлениям (доходам)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 том числе </w:t>
            </w:r>
            <w:proofErr w:type="gramStart"/>
            <w:r>
              <w:t>долгосрочная</w:t>
            </w:r>
            <w:proofErr w:type="gramEnd"/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По перечислениям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из них </w:t>
            </w:r>
            <w:proofErr w:type="gramStart"/>
            <w:r>
              <w:t>нереальной</w:t>
            </w:r>
            <w:proofErr w:type="gramEnd"/>
            <w:r>
              <w:t xml:space="preserve"> к взысканию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3.2.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Изменение кредиторской задолженности за отчетный год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из них просроченная кредиторская задолженность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4.</w:t>
            </w: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Доходы, полученные учреждением от оказания платных услуг (выполнения работ)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План (руб.)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Факт (руб.)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Сведения об исполнении муниципального задания на оказание муниципальных услуг (выполнения работ)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2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Фактическое значение за отчетный период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6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Сведения об оказании муниципальных услуг (выполнения работ) сверх муниципального задания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Цены (тарифы) на платные услуги (работы), оказываемые потребителям (в динамике в течение отчетного года)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услуги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Цена (тариф) на начало отчетного периода (руб.)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Динамика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Количество потребителей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Отчетный год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Бесплатные услуги (работы)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Платные работы (услуги)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Количество жалоб потребителей и принятые по результатам их рассмотрения меры в отчетном периоде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жалоб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Принятые меры (при наличии жалоб)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Вид поступления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Сумма поступлений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кассовая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плановая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11.</w:t>
            </w:r>
          </w:p>
        </w:tc>
        <w:tc>
          <w:tcPr>
            <w:tcW w:w="655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показателя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Виды выплат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Сумма выплаты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кассовая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плановая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7067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Раздел 3. Сведения об использовании закрепленного за учреждением муниципального имущества</w:t>
            </w:r>
          </w:p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Наименование показателя</w:t>
            </w:r>
          </w:p>
        </w:tc>
        <w:tc>
          <w:tcPr>
            <w:tcW w:w="46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Значение показателя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9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</w:pPr>
            <w:r>
              <w:t>на начало отчетного года</w:t>
            </w: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 конец отчетного года</w:t>
            </w: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2.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3.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4.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5.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6.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7.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8.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9.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10.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11.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12.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13.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  <w:tr w:rsidR="00804685">
        <w:tblPrEx>
          <w:tblCellMar>
            <w:left w:w="27" w:type="dxa"/>
            <w:right w:w="28" w:type="dxa"/>
          </w:tblCellMar>
        </w:tblPrEx>
        <w:trPr>
          <w:gridBefore w:val="1"/>
          <w:wBefore w:w="44" w:type="dxa"/>
        </w:trPr>
        <w:tc>
          <w:tcPr>
            <w:tcW w:w="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14.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0204E9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293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6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04685" w:rsidRDefault="00804685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804685" w:rsidRDefault="000204E9">
      <w:pPr>
        <w:pStyle w:val="a3"/>
        <w:spacing w:after="0"/>
        <w:ind w:left="0" w:right="0" w:firstLine="567"/>
        <w:jc w:val="both"/>
      </w:pPr>
      <w:r>
        <w:t>Руководитель                          _____________________(Ф.И.О.)</w:t>
      </w:r>
    </w:p>
    <w:p w:rsidR="00804685" w:rsidRDefault="00804685">
      <w:pPr>
        <w:pStyle w:val="a3"/>
        <w:spacing w:after="0"/>
        <w:ind w:left="0" w:right="0" w:firstLine="567"/>
        <w:jc w:val="both"/>
      </w:pPr>
    </w:p>
    <w:p w:rsidR="00804685" w:rsidRDefault="000204E9">
      <w:pPr>
        <w:pStyle w:val="a3"/>
        <w:spacing w:after="0"/>
        <w:ind w:left="0" w:right="0" w:firstLine="567"/>
        <w:jc w:val="both"/>
      </w:pPr>
      <w:r>
        <w:t>Главный бухгалтер                ______________________(Ф.И.О.)</w:t>
      </w:r>
    </w:p>
    <w:sectPr w:rsidR="00804685" w:rsidSect="009168B0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804685"/>
    <w:rsid w:val="000204E9"/>
    <w:rsid w:val="003B67F0"/>
    <w:rsid w:val="005417C4"/>
    <w:rsid w:val="00610604"/>
    <w:rsid w:val="00804685"/>
    <w:rsid w:val="0088759E"/>
    <w:rsid w:val="009168B0"/>
    <w:rsid w:val="0093028D"/>
    <w:rsid w:val="00CB1F74"/>
    <w:rsid w:val="00CC02A3"/>
    <w:rsid w:val="00D012D7"/>
    <w:rsid w:val="00E146D6"/>
    <w:rsid w:val="00F6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85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804685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804685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804685"/>
  </w:style>
  <w:style w:type="character" w:customStyle="1" w:styleId="FootnoteCharacters">
    <w:name w:val="Footnote Characters"/>
    <w:qFormat/>
    <w:rsid w:val="00804685"/>
  </w:style>
  <w:style w:type="character" w:customStyle="1" w:styleId="InternetLink">
    <w:name w:val="Internet Link"/>
    <w:rsid w:val="00804685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804685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804685"/>
    <w:rPr>
      <w:i/>
    </w:rPr>
  </w:style>
  <w:style w:type="paragraph" w:customStyle="1" w:styleId="TableContents">
    <w:name w:val="Table Contents"/>
    <w:basedOn w:val="a3"/>
    <w:qFormat/>
    <w:rsid w:val="00804685"/>
  </w:style>
  <w:style w:type="paragraph" w:customStyle="1" w:styleId="Footer">
    <w:name w:val="Footer"/>
    <w:basedOn w:val="a"/>
    <w:rsid w:val="00804685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804685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804685"/>
    <w:pPr>
      <w:suppressLineNumbers/>
    </w:pPr>
  </w:style>
  <w:style w:type="paragraph" w:customStyle="1" w:styleId="Caption">
    <w:name w:val="Caption"/>
    <w:basedOn w:val="a"/>
    <w:qFormat/>
    <w:rsid w:val="00804685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804685"/>
  </w:style>
  <w:style w:type="paragraph" w:styleId="a3">
    <w:name w:val="Body Text"/>
    <w:basedOn w:val="a"/>
    <w:rsid w:val="00804685"/>
    <w:pPr>
      <w:spacing w:before="0" w:after="283"/>
    </w:pPr>
  </w:style>
  <w:style w:type="paragraph" w:customStyle="1" w:styleId="Heading">
    <w:name w:val="Heading"/>
    <w:basedOn w:val="a"/>
    <w:next w:val="a3"/>
    <w:qFormat/>
    <w:rsid w:val="00804685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804685"/>
    <w:pPr>
      <w:suppressLineNumbers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3028D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93028D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75e75b08-e16d-4ea1-b556-207a8a9419f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75e75b08-e16d-4ea1-b556-207a8a9419f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96e20c02-1b12-465a-b64c-24aa9227000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1ECA550B-E62A-39BF-40D6-506687F51D8D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dostup.scli.ru:8111/content/act/ed1c3695-af9f-40a1-b642-4da2ac310ba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2022-10-11T09:53:00Z</cp:lastPrinted>
  <dcterms:created xsi:type="dcterms:W3CDTF">2022-10-10T12:32:00Z</dcterms:created>
  <dcterms:modified xsi:type="dcterms:W3CDTF">2022-10-11T11:36:00Z</dcterms:modified>
  <dc:language>en-US</dc:language>
</cp:coreProperties>
</file>