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/>
        <w:jc w:val="center"/>
      </w:pPr>
      <w:r>
        <w:t>Российская Федерация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/>
        <w:jc w:val="center"/>
      </w:pPr>
      <w:r>
        <w:t>АДМИНИСТРАЦИЯ    СЕЛЬСКОГО ПОСЕЛЕНИЯ СЫРСКИЙ СЕЛЬСОВЕТ  ЛИПЕЦКОГО МУНИЦИПАЛЬНОГО РАЙОНА  ЛИПЕЦКОЙ ОБЛАСТИ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/>
        <w:jc w:val="center"/>
      </w:pPr>
      <w:r>
        <w:t>П О С Т А Н О В Л Е Н И Е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/>
        <w:jc w:val="center"/>
      </w:pPr>
      <w:r>
        <w:t>29. 04. 2019г.                                                №35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Правил присвоения, изменения и аннулирования адресов на территории сельского поселения Боринский сельсовет Липецкого муниципального района Липецкой области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 w:firstLine="567"/>
        <w:jc w:val="both"/>
      </w:pPr>
      <w:r>
        <w:t>В соответствии с Федеральным законом </w:t>
      </w:r>
      <w:hyperlink r:id="rId4">
        <w:r>
          <w:rPr>
            <w:rStyle w:val="InternetLink"/>
            <w:color w:val="0000FF"/>
            <w:u w:val="none"/>
          </w:rPr>
          <w:t>от 06.10.2003 № 131-ФЗ</w:t>
        </w:r>
      </w:hyperlink>
      <w:r>
        <w:t xml:space="preserve"> "Об общих принципах организации местного самоуправления в Российской Федерации", постановлением Правительства Российской Федерации </w:t>
      </w:r>
      <w:hyperlink r:id="rId5">
        <w:r>
          <w:rPr>
            <w:rStyle w:val="InternetLink"/>
            <w:color w:val="0000FF"/>
            <w:u w:val="none"/>
          </w:rPr>
          <w:t>№ 1221 от 19.11.2014 г.</w:t>
        </w:r>
      </w:hyperlink>
      <w:r>
        <w:t>"Об утверждении правил присвоения, изменения и аннулирования адресов", в целях установления единых правил присвоения, изменения и аннулирования адресов на территории сельского поселения, администрация сельского поселения Боринский сельсовет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/>
        <w:jc w:val="both"/>
      </w:pPr>
      <w:r>
        <w:t>ПОСТАНОВЛЯЕТ: 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 w:firstLine="567"/>
        <w:jc w:val="both"/>
      </w:pPr>
      <w:r>
        <w:t>1. Утвердить Правила присвоения, изменения и аннулирования адресов на территории сельского поселения Боринский сельсовет Липецкого муниципального района Липецкой области (прилагаются).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2. Направить настоящие Правила главе сельского поселения Боринский сельсовет для подписания и обнародования.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3. Настоящее решение разместить на официальном сайте администрации сельского поселения Боринский  сельсовет.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4. Настоящее решение вступает в силу со дня его официального обнародования.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/>
        <w:jc w:val="both"/>
      </w:pPr>
      <w:r>
        <w:t>Глава администрации сельского поселения Боринский сельсовет</w:t>
      </w:r>
    </w:p>
    <w:p w:rsidR="00CE21D1" w:rsidRDefault="009B12B2">
      <w:pPr>
        <w:pStyle w:val="a3"/>
        <w:spacing w:after="0"/>
        <w:ind w:left="0" w:right="0"/>
        <w:jc w:val="both"/>
      </w:pPr>
      <w:r>
        <w:t>Н. В. Ярикова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/>
        <w:jc w:val="both"/>
      </w:pPr>
      <w:r>
        <w:t>Приложение к постановлению главы сельского поселения Боринский сельсовет Липецкого муниципального района Липецкой области № 35 от 29.04.2019 г.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Правила присвоения, изменения и аннулирования адресов на территории сельского поселения Боринский сельсовет Липецкого муниципального района Липецкой области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1. Общие положения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 w:firstLine="567"/>
        <w:jc w:val="both"/>
      </w:pPr>
      <w: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2. Понятия, используемые в настоящих Правилах, означают следующее: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нужд";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"элемент улично-дорожной сети" - улица, проспект, переулок, проезд, набережная, площадь, бульвар, тупик, съезд, шоссе, аллея и иное;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"адрес"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"государственный адресный реестр" - государственный информационный ресурс, содержащий сведения об адресах;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"объект адресации"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правилами присвоения, изменения, аннулирования адресов, иной объект, которому присваивается адрес.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3. Адрес, присвоенный объекту адресации, должен отвечать следующим требованиям: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б) обязательность. Каждому объекту адресации должен быть присвоен адрес в соответствии с настоящими Правилами;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4. Присвоение, изменение и аннулирование адресов осуществляется без взимания платы.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 Структура адреса объекта адресации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 w:firstLine="567"/>
        <w:jc w:val="both"/>
      </w:pPr>
      <w:r>
        <w:t>6.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а) наименование страны (Российская Федерация);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б) наименование субъекта Российской Федерации;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в) наименование муниципального района;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г) наименование сельского поселения в составе муниципального района (для муниципального района);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д) наименование населенного пункта;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е) наименование элемента планировочной структуры;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ж) наименование элемента улично-дорожной сети;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з) номер земельного участка;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и) тип и номер здания, сооружения или объекта незавершенного строительства;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к) тип и номер помещения, расположенного в здании или сооружении.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7.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6 настоящих Правил.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8.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9. Обязательными адресообразующими элементами для всех видов объектов адресации являются: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а) страна;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б) субъект Российской Федерации;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в) муниципальный район в составе субъекта Российской Федерации;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г)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д) населенный пункт (за исключением объектов адресации, расположенных вне границ населенных пунктов);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10. Иные адресообразующие элементы применяются в зависимости от вида объекта адресации.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11. Структура адреса земельного участка в дополнение к обязательным адресообразующим элементам, указанным в пункте 9 настоящих Правил, включает в себя следующие адресообразующие элементы, описанные идентифицирующими их реквизитами: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а) наименование элемента планировочной структуры (при наличии);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б) наименование элемента улично-дорожной сети (при наличии);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в) номер земельного участка.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12.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9 настоящих Правил, включает в себя следующие адресообразующие элементы, описанные идентифицирующими их реквизитами: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а) наименование элемента планировочной структуры (при наличии);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б) наименование элемента улично-дорожной сети (при наличии);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в) тип и номер здания, сооружения или объекта незавершенного строительства.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13. Структура адреса помещения в пределах здания (сооружения) в дополнение к обязательным адресообразующим элементам, указанным в пункте 9 настоящих Правил, включает в себя следующие адресообразующие элементы, описанные идентифицирующими их реквизитами: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а) наименование элемента планировочной структуры (при наличии);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б) наименование элемента улично-дорожной сети (при наличии);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в) тип и номер здания, сооружения;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г) тип и номер помещения в пределах здания, сооружения;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д) тип и номер помещения в пределах квартиры (в отношении коммунальных квартир).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3. Органы, осуществляющие присвоение, изменение и аннулирование адреса объекту адресации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 w:firstLine="567"/>
        <w:jc w:val="both"/>
      </w:pPr>
      <w:r>
        <w:t>14. Присвоение объекту адресации адреса, изменение и аннулирование такого адреса на территории поселения осуществляется органами местного самоуправления, уполномоченными Уставом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 xml:space="preserve">15.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 43 и 45 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статьях 26 и 27 Федерального закона </w:t>
      </w:r>
      <w:hyperlink r:id="rId6">
        <w:r>
          <w:rPr>
            <w:rStyle w:val="InternetLink"/>
            <w:color w:val="0000FF"/>
            <w:u w:val="none"/>
          </w:rPr>
          <w:t>от 13.07.2015 N 218-ФЗ</w:t>
        </w:r>
      </w:hyperlink>
      <w:r>
        <w:t>"О государственной регистрации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4. Присвоение адреса объекту адресации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 w:firstLine="567"/>
        <w:jc w:val="both"/>
      </w:pPr>
      <w:r>
        <w:t>16. Присвоение объекту адресации адреса осуществляется: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а) в отношении земельных участков в случаях: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подготовки документации по планировке территории в отношении застроенной и подлежащей застройке территории в соответствии с </w:t>
      </w:r>
      <w:hyperlink r:id="rId7">
        <w:r>
          <w:rPr>
            <w:rStyle w:val="InternetLink"/>
            <w:color w:val="0000FF"/>
            <w:u w:val="none"/>
          </w:rPr>
          <w:t>Градостроительным кодексом Российской Федерации</w:t>
        </w:r>
      </w:hyperlink>
      <w:r>
        <w:t>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выполнения в отношении земельного участка в соответствии с требованиями, установленными " О государственной регистрации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б) в отношении зданий, сооружений и объектов незавершенного строительства в случаях: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выдачи (получения) разрешения на строительство здания или сооружения;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выполнения в отношении здания, сооружения и объекта незавершенного строительства в соответствии с требованиями, установленными Федеральным законом "" О государственной регистрации недвижимости"",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 </w:t>
      </w:r>
      <w:hyperlink r:id="rId8">
        <w:r>
          <w:rPr>
            <w:rStyle w:val="InternetLink"/>
            <w:color w:val="0000FF"/>
            <w:u w:val="none"/>
          </w:rPr>
          <w:t>Градостроительным кодексом Российской Федерации</w:t>
        </w:r>
      </w:hyperlink>
      <w:r>
        <w:t> 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в) в отношении помещений в случаях: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подготовки и оформления в установленном </w:t>
      </w:r>
      <w:hyperlink r:id="rId9">
        <w:r>
          <w:rPr>
            <w:rStyle w:val="InternetLink"/>
            <w:color w:val="0000FF"/>
            <w:u w:val="none"/>
          </w:rPr>
          <w:t>Жилищным кодексом Российской Федерации</w:t>
        </w:r>
      </w:hyperlink>
      <w:r>
        <w:t> 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 Федеральным законом " О государственной регистрации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17.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18.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19.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20.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21. При присвоении объекту адресации адреса или аннулировании его адреса уполномоченный орган обязан: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а) определить возможность присвоения объекту адресации адреса или аннулирования его адреса;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б) провести осмотр местонахождения объекта адресации (при необходимости);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22.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5. Аннулирование адреса объекта адресации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 w:firstLine="567"/>
        <w:jc w:val="both"/>
      </w:pPr>
      <w:r>
        <w:t>23. Аннулирование адреса объекта адресации осуществляется в случаях: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а) прекращения существования объекта адресации;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 xml:space="preserve">б) отказа в осуществлении кадастрового учета объекта адресации по основаниям, указаннымв статьях 26 и 27 Федерального закона </w:t>
      </w:r>
      <w:hyperlink r:id="rId10">
        <w:r>
          <w:rPr>
            <w:rStyle w:val="InternetLink"/>
            <w:color w:val="0000FF"/>
            <w:u w:val="none"/>
          </w:rPr>
          <w:t>от 13.07.2015 N 218-ФЗ</w:t>
        </w:r>
      </w:hyperlink>
      <w:r>
        <w:t>"О государственной регистрации недвижимости";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в) присвоения объекту адресации нового адреса.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24.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части 7 статьи 72 Федерального закона "О государственной регистрации недвижимости", из Единого государственного реестра недвижимости.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25.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26.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27.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28. При присвоении объекту адресации адреса или аннулировании его адреса уполномоченный орган обязан: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а) определить возможность присвоения объекту адресации адреса или аннулирования его адреса;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б) провести осмотр местонахождения объекта адресации (при необходимости);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29.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6. Изменение адреса объекта адресации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 w:firstLine="567"/>
        <w:jc w:val="both"/>
      </w:pPr>
      <w:r>
        <w:t>30. Причинами изменения адреса объекта адресации могут быть: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- Разделение объектов недвижимости на самостоятельные части.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- Образование нового объекта недвижимости при объединении двух и более смежных объектов недвижимости.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- Упорядочение элементов застройки.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- Иные причины.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31. Изменение адреса объектов недвижимости производится на основании решения Совета депутатов сельского поселения.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32. Изменение адреса объектов недвижимости по заявлению заявителей производится на основании представленных документов на объекты недвижимости в соответствии с разделом 8 настоящих Правил.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33. Все изменения при переадресации объектов недвижимости регистрируются в Государственном адресном реестре.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34. В Государственном адресном реестре формируется запись об изменении адреса объекта недвижимости, при этом производится: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- аннулирование старого адреса объекта недвижимости;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- присвоение нового адреса объекту недвижимости.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35.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7. Решение органа местного самоуправления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 w:firstLine="567"/>
        <w:jc w:val="both"/>
      </w:pPr>
      <w:r>
        <w:t>36. Решение уполномоченного органа о присвоении объекту адресации адреса принимается одновременно: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11">
        <w:r>
          <w:rPr>
            <w:rStyle w:val="InternetLink"/>
            <w:color w:val="0000FF"/>
            <w:u w:val="none"/>
          </w:rPr>
          <w:t>Земельным кодексом Российской Федерации</w:t>
        </w:r>
      </w:hyperlink>
      <w:r>
        <w:t>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в) с заключением уполномоченным органом договора о развитии застроенной территории в соответствии с </w:t>
      </w:r>
      <w:hyperlink r:id="rId12">
        <w:r>
          <w:rPr>
            <w:rStyle w:val="InternetLink"/>
            <w:color w:val="0000FF"/>
            <w:u w:val="none"/>
          </w:rPr>
          <w:t>Градостроительным кодексом Российской Федерации</w:t>
        </w:r>
      </w:hyperlink>
      <w:r>
        <w:t>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г) с утверждением проекта планировки территории;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д) с принятием решения о строительстве объекта адресации.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37. Решение уполномоченного органа о присвоении объекту адресации адреса содержит: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присвоенный объекту адресации адрес;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реквизиты и наименования документов, на основании которых принято решение о присвоении адреса;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описание местоположения объекта адресации;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другие необходимые сведения, определенные уполномоченным органом.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38. Решение уполномоченного органа об аннулировании адреса объекта адресации содержит: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аннулируемый адрес объекта адресации;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уникальный номер аннулируемого адреса объекта адресации в государственном адресном реестре;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причину аннулирования адреса объекта адресации;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другие необходимые сведения, определенные уполномоченным органом.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39.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40.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41.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 xml:space="preserve">42. Форма решения об отказе в присвоении объекту адресации адреса или аннулировании его адреса утверждена приказом </w:t>
      </w:r>
      <w:hyperlink r:id="rId13">
        <w:r>
          <w:rPr>
            <w:rStyle w:val="InternetLink"/>
            <w:color w:val="0000FF"/>
            <w:u w:val="none"/>
          </w:rPr>
          <w:t>Минфина России от 11.12.2014 №146н</w:t>
        </w:r>
      </w:hyperlink>
      <w:r>
        <w:t>.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8. Порядок подачи заявления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 w:firstLine="567"/>
        <w:jc w:val="both"/>
      </w:pPr>
      <w:r>
        <w:t>43.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а) право хозяйственного ведения;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б) право оперативного управления;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в) право пожизненно наследуемого владения;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г) право постоянного (бессрочного) пользования.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 xml:space="preserve">44. Заявление составляется лицами, указанными в пункте 43 настоящих Правил (далее - заявитель), по форме, устанавливаемой Министерством финансов Российской Федерации (приказ Минфина России </w:t>
      </w:r>
      <w:hyperlink r:id="rId14">
        <w:r>
          <w:rPr>
            <w:rStyle w:val="InternetLink"/>
            <w:color w:val="0000FF"/>
            <w:u w:val="none"/>
          </w:rPr>
          <w:t>от 11.12.2014 № 146н</w:t>
        </w:r>
      </w:hyperlink>
      <w:r>
        <w:t>).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45.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46.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47.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48. Заявление подписывается заявителем либо представителем заявителя.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49.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50. К заявлению прилагаются следующие документы: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а) правоустанавливающие и (или) правоудостоверяющие документы на объект (объекты) адресации;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23 настоящих Правил);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23 настоящих Правил).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51. Уполномоченные органы запрашивают документы, указанные в пункте 50 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Заявители (представители заявителя) при подаче заявления вправе приложить к нему документы, указанные в пункте 50 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Документы, указанные в пункте 50 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52. Если заявление и документы, указанные в пункте 50 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 (приложение № 1). Расписка выдается заявителю (представителю заявителя) в день получения уполномоченным органом таких документов.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 случае, если заявление и документы, указанные в пункте 50 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Получение заявления и документов, указанных в пункте 50 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Сообщение о получении заявления и документов, указанных в пункте 50 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Сообщение о получении заявления и документов, указанных в пункте 50 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53.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54. В случае представления заявления через многофункциональный центр срок, указанный в пункте 53 настоящих Правил, исчисляется со дня передачи многофункциональным центром заявления и документов, указанных в пункте 50 настоящих Правил (при их наличии), в уполномоченный орган.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55.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53 и 54 настоящих Правил;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53 и 54 настоящих Правил срока посредством почтового отправления по указанному в заявлении почтовому адресу.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53 и 54 настоящих Правил.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56. В присвоении объекту адресации адреса или аннулировании его адреса может быть отказано в случаях, если: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а) с заявлением о присвоении объекту адресации адреса обратилось лицо, не указанное в 43 и 45 настоящих Правил;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г) отсутствуют случаи и условия для присвоения объекту адресации адреса или аннулирования его адреса, указанные в пунктах 5, 16-19 и 23-27 настоящих Правил.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57.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56 настоящих Правил, являющиеся основанием для принятия такого решения.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58.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59.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9. Порядок ведения и использования Государственного адресного реестра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 w:firstLine="567"/>
        <w:jc w:val="both"/>
      </w:pPr>
      <w:r>
        <w:t>60.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адреса ранее внесенные в государственный адресный реестр сведения об адресе сохраняются в государственном адресном реестре со статусом "архивная информация".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самоуправления, разместивший такие сведения.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Органы местного самоуправления, уполномоченные на присвоение адресов объектам адресации, осуществляют следующие полномочия: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1) присваивают адреса объектам адресации, изменяют адреса объектов адресации, аннулируют их в соответствии с установленными Правительством Российской Федерации правилами присвоения, изменения, аннулирования адресов;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2) размещают, изменяют, аннулируют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10. Правила написания наименований и нумерации объектов адресации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 w:firstLine="567"/>
        <w:jc w:val="both"/>
      </w:pPr>
      <w:r>
        <w:t>61.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Наименования страны и субъектов Российской Федерации должны соответствовать соответствующим наименованиям в Конституции Российской Федерации.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62.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а) "-" - дефис;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б) "." - точка;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в) "(" - открывающая круглая скобка;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г) ")" - закрывающая круглая скобка;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д) "№" - знак номера.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63.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64.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65.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66.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67.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68.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69.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70.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71.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72. Присвоение номеров объектам, расположенным на улицах с четными номерами по левой стороне улицы и с нечетными номерами - по правой. При этом стороны определяются по ходу движения от начала улицы.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73. В случае, если на угол пересекаемых улиц выходят два равнозначных фасада одного здания, адрес присваивается по улице, идущей по направлению от центра поселка.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74. При адресации не допускается наличие одинаковых номеров у разных объектов.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75. Адрес объекта может быть оставлен без изменения в случае, если на месте разрушенного (снесенного) объекта возобновлено в установленные сроки строительство нового объекта.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76. В целях сохранения системы последовательной адресации объектов разрешается оставлять резервные адреса для объектов, которые будут созданы в соответствии с градостроительной документацией.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77. Не подлежат адресации временные объекты.</w:t>
      </w:r>
    </w:p>
    <w:p w:rsidR="00CE21D1" w:rsidRDefault="009B12B2">
      <w:pPr>
        <w:pStyle w:val="a3"/>
        <w:spacing w:after="0"/>
        <w:ind w:left="0" w:right="0" w:firstLine="567"/>
        <w:jc w:val="both"/>
      </w:pPr>
      <w:r>
        <w:t>78. Предприятие, как имущественный комплекс, состоящее из зданий (строений), сооружений, может иметь единый почтовый адрес.</w:t>
      </w: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CE21D1">
      <w:pPr>
        <w:pStyle w:val="a3"/>
        <w:spacing w:after="0"/>
        <w:ind w:left="0" w:right="0" w:firstLine="567"/>
        <w:jc w:val="both"/>
      </w:pPr>
    </w:p>
    <w:p w:rsidR="00CE21D1" w:rsidRDefault="009B12B2">
      <w:pPr>
        <w:pStyle w:val="a3"/>
        <w:spacing w:after="0"/>
        <w:ind w:left="0" w:right="0"/>
        <w:jc w:val="both"/>
      </w:pPr>
      <w:r>
        <w:t>Глава сельского поселения  Боринский сельсовет</w:t>
      </w:r>
    </w:p>
    <w:p w:rsidR="00CE21D1" w:rsidRDefault="009B12B2">
      <w:pPr>
        <w:pStyle w:val="a3"/>
        <w:spacing w:after="0"/>
        <w:ind w:left="0" w:right="0"/>
        <w:jc w:val="both"/>
      </w:pPr>
      <w:r>
        <w:t>Н.В.Ярикова</w:t>
      </w:r>
    </w:p>
    <w:sectPr w:rsidR="00CE21D1" w:rsidSect="00CE21D1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CE21D1"/>
    <w:rsid w:val="003032C6"/>
    <w:rsid w:val="009B12B2"/>
    <w:rsid w:val="00B41D33"/>
    <w:rsid w:val="00CE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D1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CE21D1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CE21D1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customStyle="1" w:styleId="Heading3">
    <w:name w:val="Heading 3"/>
    <w:basedOn w:val="Heading"/>
    <w:next w:val="a3"/>
    <w:qFormat/>
    <w:rsid w:val="00CE21D1"/>
    <w:pPr>
      <w:spacing w:before="140" w:after="120"/>
      <w:outlineLvl w:val="2"/>
    </w:pPr>
    <w:rPr>
      <w:rFonts w:ascii="Arial" w:hAnsi="Arial"/>
      <w:b/>
      <w:bCs/>
    </w:rPr>
  </w:style>
  <w:style w:type="character" w:customStyle="1" w:styleId="EndnoteCharacters">
    <w:name w:val="Endnote Characters"/>
    <w:qFormat/>
    <w:rsid w:val="00CE21D1"/>
  </w:style>
  <w:style w:type="character" w:customStyle="1" w:styleId="FootnoteCharacters">
    <w:name w:val="Footnote Characters"/>
    <w:qFormat/>
    <w:rsid w:val="00CE21D1"/>
  </w:style>
  <w:style w:type="character" w:customStyle="1" w:styleId="InternetLink">
    <w:name w:val="Internet Link"/>
    <w:rsid w:val="00CE21D1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CE21D1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CE21D1"/>
    <w:rPr>
      <w:i/>
    </w:rPr>
  </w:style>
  <w:style w:type="paragraph" w:customStyle="1" w:styleId="TableContents">
    <w:name w:val="Table Contents"/>
    <w:basedOn w:val="a3"/>
    <w:qFormat/>
    <w:rsid w:val="00CE21D1"/>
  </w:style>
  <w:style w:type="paragraph" w:customStyle="1" w:styleId="Footer">
    <w:name w:val="Footer"/>
    <w:basedOn w:val="a"/>
    <w:rsid w:val="00CE21D1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CE21D1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CE21D1"/>
    <w:pPr>
      <w:suppressLineNumbers/>
    </w:pPr>
  </w:style>
  <w:style w:type="paragraph" w:customStyle="1" w:styleId="Caption">
    <w:name w:val="Caption"/>
    <w:basedOn w:val="a"/>
    <w:qFormat/>
    <w:rsid w:val="00CE21D1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CE21D1"/>
  </w:style>
  <w:style w:type="paragraph" w:styleId="a3">
    <w:name w:val="Body Text"/>
    <w:basedOn w:val="a"/>
    <w:rsid w:val="00CE21D1"/>
    <w:pPr>
      <w:spacing w:before="0" w:after="283"/>
    </w:pPr>
  </w:style>
  <w:style w:type="paragraph" w:customStyle="1" w:styleId="Heading">
    <w:name w:val="Heading"/>
    <w:basedOn w:val="a"/>
    <w:next w:val="a3"/>
    <w:qFormat/>
    <w:rsid w:val="00CE21D1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387507c3-b80d-4c0d-9291-8cdc81673f2b.html" TargetMode="External"/><Relationship Id="rId13" Type="http://schemas.openxmlformats.org/officeDocument/2006/relationships/hyperlink" Target="http://dostup.scli.ru:8111/content/act/0925f5df-eae1-4837-bad8-4b0eb7978ae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387507c3-b80d-4c0d-9291-8cdc81673f2b.html" TargetMode="External"/><Relationship Id="rId12" Type="http://schemas.openxmlformats.org/officeDocument/2006/relationships/hyperlink" Target="http://dostup.scli.ru:8111/content/act/387507c3-b80d-4c0d-9291-8cdc81673f2b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cff822a1-201b-4168-905d-21f0ba5fc42b.html" TargetMode="External"/><Relationship Id="rId11" Type="http://schemas.openxmlformats.org/officeDocument/2006/relationships/hyperlink" Target="http://dostup.scli.ru:8111/content/act/9cf2f1c3-393d-4051-a52d-9923b0e51c0c.html" TargetMode="External"/><Relationship Id="rId5" Type="http://schemas.openxmlformats.org/officeDocument/2006/relationships/hyperlink" Target="http://dostup.scli.ru:8111/content/act/7fb04d4d-05f1-458f-9a8c-baa271d03f9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stup.scli.ru:8111/content/act/cff822a1-201b-4168-905d-21f0ba5fc42b.html" TargetMode="External"/><Relationship Id="rId4" Type="http://schemas.openxmlformats.org/officeDocument/2006/relationships/hyperlink" Target="http://dostup.scli.ru:8111/content/act/96e20c02-1b12-465a-b64c-24aa92270007.html" TargetMode="External"/><Relationship Id="rId9" Type="http://schemas.openxmlformats.org/officeDocument/2006/relationships/hyperlink" Target="http://dostup.scli.ru:8111/content/act/370ba400-14c4-4cdb-8a8b-b11f2a1a2f55.html" TargetMode="External"/><Relationship Id="rId14" Type="http://schemas.openxmlformats.org/officeDocument/2006/relationships/hyperlink" Target="http://dostup.scli.ru:8111/content/act/0925f5df-eae1-4837-bad8-4b0eb7978ae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6071</Words>
  <Characters>34607</Characters>
  <Application>Microsoft Office Word</Application>
  <DocSecurity>0</DocSecurity>
  <Lines>288</Lines>
  <Paragraphs>81</Paragraphs>
  <ScaleCrop>false</ScaleCrop>
  <Company>Reanimator Extreme Edition</Company>
  <LinksUpToDate>false</LinksUpToDate>
  <CharactersWithSpaces>40597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2019-05-20T12:06:00Z</dcterms:created>
  <dcterms:modified xsi:type="dcterms:W3CDTF">2019-05-20T12:06:00Z</dcterms:modified>
  <dc:language>en-US</dc:language>
</cp:coreProperties>
</file>