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54" w:rsidRDefault="00972A5B" w:rsidP="0097585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7225" cy="828675"/>
            <wp:effectExtent l="19050" t="0" r="9525" b="0"/>
            <wp:docPr id="2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54" w:rsidRDefault="00975854" w:rsidP="0097585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75854" w:rsidRPr="00DB32BB" w:rsidRDefault="00975854" w:rsidP="0097585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975854" w:rsidRPr="00DB32BB" w:rsidRDefault="00972A5B" w:rsidP="0097585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МОНАСТЫРЩИНСКОГО</w:t>
      </w:r>
      <w:r w:rsidR="00975854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975854" w:rsidRPr="00DB32BB" w:rsidRDefault="00975854" w:rsidP="0097585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975854" w:rsidRPr="00DB32BB" w:rsidRDefault="00975854" w:rsidP="0097585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975854" w:rsidRPr="00DB32BB" w:rsidRDefault="00975854" w:rsidP="0097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854" w:rsidRDefault="00975854" w:rsidP="00975854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975854" w:rsidRPr="00975854" w:rsidRDefault="00DA73A2" w:rsidP="0097585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«19» </w:t>
      </w:r>
      <w:proofErr w:type="spellStart"/>
      <w:r>
        <w:rPr>
          <w:sz w:val="28"/>
          <w:szCs w:val="28"/>
        </w:rPr>
        <w:t>мая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 w:rsidR="00975854" w:rsidRPr="00DB32BB">
        <w:rPr>
          <w:rFonts w:cs="Times New Roman"/>
          <w:bCs/>
          <w:sz w:val="28"/>
          <w:szCs w:val="28"/>
        </w:rPr>
        <w:t xml:space="preserve">№ </w:t>
      </w:r>
      <w:r w:rsidR="00975854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345</w:t>
      </w:r>
    </w:p>
    <w:p w:rsidR="00975854" w:rsidRPr="00DB32BB" w:rsidRDefault="00975854" w:rsidP="00975854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972A5B">
        <w:rPr>
          <w:rFonts w:cs="Times New Roman"/>
          <w:bCs/>
          <w:sz w:val="28"/>
          <w:szCs w:val="28"/>
          <w:lang w:val="ru-RU"/>
        </w:rPr>
        <w:t>Монастырщина</w:t>
      </w:r>
    </w:p>
    <w:p w:rsidR="00975854" w:rsidRDefault="00975854" w:rsidP="00975854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 утверждении плана </w:t>
      </w:r>
      <w:proofErr w:type="gramStart"/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>дорожных</w:t>
      </w:r>
      <w:proofErr w:type="gramEnd"/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</w:t>
      </w:r>
    </w:p>
    <w:p w:rsid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работ по ремонту автомобильных </w:t>
      </w:r>
    </w:p>
    <w:p w:rsid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дорог общего пользования местного </w:t>
      </w:r>
    </w:p>
    <w:p w:rsid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значения </w:t>
      </w:r>
      <w:proofErr w:type="spellStart"/>
      <w:r w:rsidR="00972A5B"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>Монастырщинского</w:t>
      </w:r>
      <w:proofErr w:type="spellEnd"/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сельского </w:t>
      </w:r>
    </w:p>
    <w:p w:rsid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поселения </w:t>
      </w:r>
      <w:proofErr w:type="spellStart"/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>Богучарского</w:t>
      </w:r>
      <w:proofErr w:type="spellEnd"/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муниципального района </w:t>
      </w:r>
    </w:p>
    <w:p w:rsidR="000F0F58" w:rsidRPr="00DA73A2" w:rsidRDefault="000F0F58" w:rsidP="00DA73A2">
      <w:pPr>
        <w:pStyle w:val="a7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A73A2">
        <w:rPr>
          <w:rFonts w:ascii="Times New Roman" w:hAnsi="Times New Roman" w:cs="Times New Roman"/>
          <w:b/>
          <w:sz w:val="28"/>
          <w:szCs w:val="28"/>
          <w:highlight w:val="white"/>
        </w:rPr>
        <w:t>Воронежской области на 2020 год</w:t>
      </w:r>
    </w:p>
    <w:p w:rsidR="000F0F58" w:rsidRDefault="000F0F58" w:rsidP="000F0F58">
      <w:pPr>
        <w:rPr>
          <w:b/>
          <w:sz w:val="28"/>
          <w:szCs w:val="28"/>
        </w:rPr>
      </w:pPr>
    </w:p>
    <w:p w:rsidR="000F0F58" w:rsidRPr="000069B4" w:rsidRDefault="000F0F58" w:rsidP="000069B4">
      <w:pPr>
        <w:ind w:firstLine="567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proofErr w:type="gramStart"/>
      <w:r w:rsidRPr="000069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сельского поселения, распоряжением администрации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от 17.04.2020 № 85-р «О выделении денежных средств»,  Соглашением между органами местного самоуправления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местного самоуправления </w:t>
      </w:r>
      <w:proofErr w:type="spellStart"/>
      <w:r w:rsidR="00F10F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10F0B">
        <w:rPr>
          <w:rFonts w:ascii="Times New Roman" w:hAnsi="Times New Roman" w:cs="Times New Roman"/>
          <w:sz w:val="28"/>
          <w:szCs w:val="28"/>
        </w:rPr>
        <w:t xml:space="preserve"> </w:t>
      </w:r>
      <w:r w:rsidRPr="000069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об осуществлении части полномочий органов местного самоуправления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069B4">
        <w:rPr>
          <w:rFonts w:ascii="Times New Roman" w:hAnsi="Times New Roman" w:cs="Times New Roman"/>
          <w:sz w:val="28"/>
          <w:szCs w:val="28"/>
        </w:rPr>
        <w:t xml:space="preserve"> района по дорожной деятельности в отношении автомобильных дорог общего пользования местного значения в границах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от 21.04.2020 № 4</w:t>
      </w:r>
      <w:r w:rsidR="00972A5B" w:rsidRPr="000069B4">
        <w:rPr>
          <w:rFonts w:ascii="Times New Roman" w:hAnsi="Times New Roman" w:cs="Times New Roman"/>
          <w:sz w:val="28"/>
          <w:szCs w:val="28"/>
        </w:rPr>
        <w:t>9</w:t>
      </w:r>
      <w:r w:rsidR="00F10F0B">
        <w:rPr>
          <w:rFonts w:ascii="Times New Roman" w:hAnsi="Times New Roman" w:cs="Times New Roman"/>
          <w:sz w:val="28"/>
          <w:szCs w:val="28"/>
        </w:rPr>
        <w:t xml:space="preserve">, </w:t>
      </w:r>
      <w:r w:rsidRPr="000069B4">
        <w:rPr>
          <w:rFonts w:ascii="Times New Roman" w:hAnsi="Times New Roman" w:cs="Times New Roman"/>
          <w:sz w:val="28"/>
          <w:szCs w:val="28"/>
        </w:rPr>
        <w:t xml:space="preserve"> </w:t>
      </w:r>
      <w:r w:rsidR="00F10F0B" w:rsidRPr="00F10F0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F10F0B" w:rsidRPr="00F10F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10F0B" w:rsidRPr="00F10F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0F0B">
        <w:rPr>
          <w:rFonts w:ascii="Times New Roman" w:hAnsi="Times New Roman" w:cs="Times New Roman"/>
          <w:b/>
          <w:sz w:val="28"/>
          <w:szCs w:val="28"/>
        </w:rPr>
        <w:t>реши</w:t>
      </w:r>
      <w:r w:rsidR="00F10F0B" w:rsidRPr="00F10F0B">
        <w:rPr>
          <w:rFonts w:ascii="Times New Roman" w:hAnsi="Times New Roman" w:cs="Times New Roman"/>
          <w:b/>
          <w:sz w:val="28"/>
          <w:szCs w:val="28"/>
        </w:rPr>
        <w:t>л:</w:t>
      </w:r>
    </w:p>
    <w:p w:rsidR="000F0F58" w:rsidRPr="000069B4" w:rsidRDefault="000F0F58" w:rsidP="000069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9B4">
        <w:rPr>
          <w:rFonts w:ascii="Times New Roman" w:hAnsi="Times New Roman" w:cs="Times New Roman"/>
          <w:sz w:val="28"/>
          <w:szCs w:val="28"/>
        </w:rPr>
        <w:t>1. У</w:t>
      </w:r>
      <w:r w:rsidRPr="000069B4">
        <w:rPr>
          <w:rFonts w:ascii="Times New Roman" w:hAnsi="Times New Roman" w:cs="Times New Roman"/>
          <w:sz w:val="28"/>
          <w:szCs w:val="28"/>
          <w:highlight w:val="white"/>
        </w:rPr>
        <w:t xml:space="preserve">твердить план дорожных работ по ремонту автомобильных дорог общего пользования местного значения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  <w:highlight w:val="white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  <w:highlight w:val="white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Воронежской области на 2020 год</w:t>
      </w:r>
      <w:r w:rsidRPr="000069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12D5" w:rsidRPr="000069B4" w:rsidRDefault="000F0F58" w:rsidP="000069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9B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12D5" w:rsidRPr="000069B4">
        <w:rPr>
          <w:rFonts w:ascii="Times New Roman" w:hAnsi="Times New Roman" w:cs="Times New Roman"/>
          <w:sz w:val="28"/>
          <w:szCs w:val="28"/>
        </w:rPr>
        <w:t xml:space="preserve">Определение подрядчиков по ремонту автомобильных дорог общего пользования местного значения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F12D5" w:rsidRPr="000069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12D5"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F12D5"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администрации </w:t>
      </w:r>
      <w:proofErr w:type="spellStart"/>
      <w:r w:rsidR="007F12D5"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F12D5"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провести путем проведения совместного аукциона.</w:t>
      </w:r>
    </w:p>
    <w:p w:rsidR="000F0F58" w:rsidRPr="000069B4" w:rsidRDefault="000F0F58" w:rsidP="000069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9B4">
        <w:rPr>
          <w:rFonts w:ascii="Times New Roman" w:hAnsi="Times New Roman" w:cs="Times New Roman"/>
          <w:sz w:val="28"/>
          <w:szCs w:val="28"/>
        </w:rPr>
        <w:t xml:space="preserve">3. Передать полномочия по определению подрядчиков по ремонту автомобильных дорог общего пользования местного значения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F12D5" w:rsidRPr="000069B4">
        <w:rPr>
          <w:rFonts w:ascii="Times New Roman" w:hAnsi="Times New Roman" w:cs="Times New Roman"/>
          <w:sz w:val="28"/>
          <w:szCs w:val="28"/>
        </w:rPr>
        <w:t xml:space="preserve"> путем проведения совместного аукциона</w:t>
      </w:r>
      <w:r w:rsidRPr="000069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0F0F58" w:rsidRPr="000069B4" w:rsidRDefault="000F0F58" w:rsidP="000069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9B4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заключить соглашение с администрацией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передаче полномочий по определению подрядчиков по ремонту дорог общего пользования местного значения </w:t>
      </w:r>
      <w:proofErr w:type="spellStart"/>
      <w:r w:rsidR="00972A5B" w:rsidRPr="000069B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06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069B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путем проведения совместного аукциона.</w:t>
      </w:r>
    </w:p>
    <w:p w:rsidR="00C8171F" w:rsidRPr="006E3DE6" w:rsidRDefault="00C8171F" w:rsidP="00C8171F">
      <w:pPr>
        <w:pStyle w:val="Standard"/>
        <w:rPr>
          <w:bCs/>
          <w:kern w:val="28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0F0F58" w:rsidRPr="000069B4">
        <w:rPr>
          <w:rFonts w:cs="Times New Roman"/>
          <w:sz w:val="28"/>
          <w:szCs w:val="28"/>
        </w:rPr>
        <w:t>5.</w:t>
      </w:r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Контроль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за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выполнением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данного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r>
        <w:rPr>
          <w:bCs/>
          <w:kern w:val="28"/>
          <w:sz w:val="28"/>
          <w:szCs w:val="28"/>
          <w:lang w:val="ru-RU" w:eastAsia="ru-RU"/>
        </w:rPr>
        <w:t xml:space="preserve">  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решения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r>
        <w:rPr>
          <w:bCs/>
          <w:kern w:val="28"/>
          <w:sz w:val="28"/>
          <w:szCs w:val="28"/>
          <w:lang w:val="ru-RU" w:eastAsia="ru-RU"/>
        </w:rPr>
        <w:t xml:space="preserve"> 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возложить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r>
        <w:rPr>
          <w:b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на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r>
        <w:rPr>
          <w:b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главу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r>
        <w:rPr>
          <w:bCs/>
          <w:kern w:val="28"/>
          <w:sz w:val="28"/>
          <w:szCs w:val="28"/>
          <w:lang w:val="ru-RU" w:eastAsia="ru-RU"/>
        </w:rPr>
        <w:t xml:space="preserve">   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Монастырщинского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сельского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поселения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6E3DE6">
        <w:rPr>
          <w:bCs/>
          <w:kern w:val="28"/>
          <w:sz w:val="28"/>
          <w:szCs w:val="28"/>
          <w:lang w:eastAsia="ru-RU"/>
        </w:rPr>
        <w:t>Сывороткина</w:t>
      </w:r>
      <w:proofErr w:type="spellEnd"/>
      <w:r w:rsidRPr="006E3DE6">
        <w:rPr>
          <w:bCs/>
          <w:kern w:val="28"/>
          <w:sz w:val="28"/>
          <w:szCs w:val="28"/>
          <w:lang w:eastAsia="ru-RU"/>
        </w:rPr>
        <w:t xml:space="preserve"> Ю.Н.</w:t>
      </w:r>
    </w:p>
    <w:p w:rsidR="000F0F58" w:rsidRPr="00C8171F" w:rsidRDefault="000F0F58" w:rsidP="000069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03A0D" w:rsidRDefault="00403A0D" w:rsidP="00403A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3A0D" w:rsidRDefault="00403A0D" w:rsidP="00403A0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3A0D" w:rsidRDefault="00403A0D" w:rsidP="00403A0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Ю.Н. Сывороткин</w:t>
      </w:r>
    </w:p>
    <w:p w:rsidR="00975854" w:rsidRPr="00DB32BB" w:rsidRDefault="00975854" w:rsidP="00DA73A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7F12D5" w:rsidRDefault="007F12D5" w:rsidP="00DA73A2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F12D5" w:rsidRDefault="007F12D5" w:rsidP="00DA73A2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F12D5" w:rsidRDefault="007F12D5" w:rsidP="00DA73A2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F12D5" w:rsidRDefault="007F12D5" w:rsidP="00DA73A2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F12D5" w:rsidRDefault="007F12D5" w:rsidP="00DA73A2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C7EA5" w:rsidRDefault="00BC7EA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C7EA5" w:rsidRDefault="00BC7EA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C7EA5" w:rsidRDefault="00BC7EA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C7EA5" w:rsidRDefault="00BC7EA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33CC5" w:rsidRDefault="00033CC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1362A" w:rsidRDefault="0061362A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61362A" w:rsidRDefault="0061362A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033CC5" w:rsidRDefault="00033CC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BC7EA5" w:rsidRDefault="007F12D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BC7EA5">
        <w:rPr>
          <w:sz w:val="28"/>
          <w:szCs w:val="28"/>
        </w:rPr>
        <w:t xml:space="preserve">ю </w:t>
      </w:r>
      <w:r>
        <w:rPr>
          <w:sz w:val="28"/>
          <w:szCs w:val="28"/>
        </w:rPr>
        <w:t>Совета народных депутатов</w:t>
      </w:r>
    </w:p>
    <w:p w:rsidR="007F12D5" w:rsidRDefault="00972A5B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7F12D5">
        <w:rPr>
          <w:sz w:val="28"/>
          <w:szCs w:val="28"/>
        </w:rPr>
        <w:t xml:space="preserve"> сельского поселения</w:t>
      </w: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EA5">
        <w:rPr>
          <w:sz w:val="28"/>
          <w:szCs w:val="28"/>
        </w:rPr>
        <w:t>19.05.</w:t>
      </w:r>
      <w:r>
        <w:rPr>
          <w:sz w:val="28"/>
          <w:szCs w:val="28"/>
        </w:rPr>
        <w:t>2020 года №</w:t>
      </w:r>
      <w:r w:rsidR="00BC7EA5">
        <w:rPr>
          <w:sz w:val="28"/>
          <w:szCs w:val="28"/>
        </w:rPr>
        <w:t xml:space="preserve"> 345</w:t>
      </w: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F12D5">
        <w:rPr>
          <w:b/>
          <w:sz w:val="28"/>
          <w:szCs w:val="28"/>
        </w:rPr>
        <w:t xml:space="preserve">План дорожных работ по ремонту автомобильных дорог общего пользования местного значения </w:t>
      </w:r>
      <w:proofErr w:type="spellStart"/>
      <w:r w:rsidR="00972A5B">
        <w:rPr>
          <w:b/>
          <w:sz w:val="28"/>
          <w:szCs w:val="28"/>
        </w:rPr>
        <w:t>Монастырщинского</w:t>
      </w:r>
      <w:proofErr w:type="spellEnd"/>
      <w:r w:rsidRPr="007F12D5">
        <w:rPr>
          <w:b/>
          <w:sz w:val="28"/>
          <w:szCs w:val="28"/>
        </w:rPr>
        <w:t xml:space="preserve"> сельского поселения </w:t>
      </w:r>
      <w:proofErr w:type="spellStart"/>
      <w:r w:rsidRPr="007F12D5">
        <w:rPr>
          <w:b/>
          <w:sz w:val="28"/>
          <w:szCs w:val="28"/>
        </w:rPr>
        <w:t>Богучарского</w:t>
      </w:r>
      <w:proofErr w:type="spellEnd"/>
      <w:r w:rsidRPr="007F12D5">
        <w:rPr>
          <w:b/>
          <w:sz w:val="28"/>
          <w:szCs w:val="28"/>
        </w:rPr>
        <w:t xml:space="preserve"> муниципального района Воронежской области на 2020 год</w:t>
      </w:r>
    </w:p>
    <w:p w:rsidR="00693DCC" w:rsidRDefault="00693DCC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287"/>
        <w:gridCol w:w="1806"/>
        <w:gridCol w:w="1791"/>
        <w:gridCol w:w="1871"/>
      </w:tblGrid>
      <w:tr w:rsidR="00972A5B" w:rsidTr="00693DCC">
        <w:tc>
          <w:tcPr>
            <w:tcW w:w="959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№ п.п.</w:t>
            </w:r>
          </w:p>
        </w:tc>
        <w:tc>
          <w:tcPr>
            <w:tcW w:w="3287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06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Вид работ</w:t>
            </w:r>
          </w:p>
        </w:tc>
        <w:tc>
          <w:tcPr>
            <w:tcW w:w="1791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Объем работ</w:t>
            </w:r>
          </w:p>
        </w:tc>
        <w:tc>
          <w:tcPr>
            <w:tcW w:w="1871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Сметная стоимость работ в ценах 2020 года, тыс. руб.</w:t>
            </w:r>
          </w:p>
        </w:tc>
      </w:tr>
      <w:tr w:rsidR="00972A5B" w:rsidTr="00693DCC">
        <w:tc>
          <w:tcPr>
            <w:tcW w:w="959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3</w:t>
            </w:r>
          </w:p>
        </w:tc>
        <w:tc>
          <w:tcPr>
            <w:tcW w:w="1791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972A5B" w:rsidRPr="00693DCC" w:rsidRDefault="00972A5B" w:rsidP="0092341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3DCC">
              <w:rPr>
                <w:sz w:val="28"/>
                <w:szCs w:val="28"/>
              </w:rPr>
              <w:t>5</w:t>
            </w:r>
          </w:p>
        </w:tc>
      </w:tr>
      <w:tr w:rsidR="00972A5B" w:rsidTr="00693DCC">
        <w:tc>
          <w:tcPr>
            <w:tcW w:w="959" w:type="dxa"/>
          </w:tcPr>
          <w:p w:rsidR="00972A5B" w:rsidRPr="00AE3EEF" w:rsidRDefault="00972A5B" w:rsidP="00BC7E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3EEF">
              <w:rPr>
                <w:sz w:val="28"/>
                <w:szCs w:val="28"/>
              </w:rPr>
              <w:t>1</w:t>
            </w:r>
            <w:r w:rsidR="00BC7EA5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972A5B" w:rsidRPr="0061592B" w:rsidRDefault="00972A5B" w:rsidP="00BC7EA5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592B">
              <w:rPr>
                <w:sz w:val="28"/>
                <w:szCs w:val="28"/>
              </w:rPr>
              <w:t xml:space="preserve">Автомобильная дорога по улице </w:t>
            </w:r>
            <w:r>
              <w:rPr>
                <w:sz w:val="28"/>
                <w:szCs w:val="28"/>
              </w:rPr>
              <w:t>Свободы в с. Монастырщина</w:t>
            </w:r>
            <w:r w:rsidRPr="002C165D">
              <w:rPr>
                <w:sz w:val="28"/>
                <w:szCs w:val="28"/>
              </w:rPr>
              <w:t xml:space="preserve"> </w:t>
            </w:r>
            <w:proofErr w:type="spellStart"/>
            <w:r w:rsidRPr="002C165D">
              <w:rPr>
                <w:sz w:val="28"/>
                <w:szCs w:val="28"/>
              </w:rPr>
              <w:t>Богучарского</w:t>
            </w:r>
            <w:proofErr w:type="spellEnd"/>
            <w:r w:rsidRPr="002C165D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06" w:type="dxa"/>
            <w:vAlign w:val="center"/>
          </w:tcPr>
          <w:p w:rsidR="00972A5B" w:rsidRPr="0061592B" w:rsidRDefault="00972A5B" w:rsidP="00BC7E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592B">
              <w:rPr>
                <w:sz w:val="28"/>
                <w:szCs w:val="28"/>
              </w:rPr>
              <w:t>Ремонт</w:t>
            </w:r>
          </w:p>
        </w:tc>
        <w:tc>
          <w:tcPr>
            <w:tcW w:w="1791" w:type="dxa"/>
            <w:vAlign w:val="center"/>
          </w:tcPr>
          <w:p w:rsidR="00972A5B" w:rsidRPr="0061592B" w:rsidRDefault="00972A5B" w:rsidP="00BC7E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2,145</w:t>
            </w:r>
          </w:p>
        </w:tc>
        <w:tc>
          <w:tcPr>
            <w:tcW w:w="1871" w:type="dxa"/>
            <w:vAlign w:val="center"/>
          </w:tcPr>
          <w:p w:rsidR="00972A5B" w:rsidRPr="0061592B" w:rsidRDefault="00972A5B" w:rsidP="00BC7E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8429,22</w:t>
            </w:r>
          </w:p>
        </w:tc>
      </w:tr>
      <w:tr w:rsidR="00972A5B" w:rsidTr="00923412">
        <w:tc>
          <w:tcPr>
            <w:tcW w:w="6052" w:type="dxa"/>
            <w:gridSpan w:val="3"/>
            <w:vAlign w:val="center"/>
          </w:tcPr>
          <w:p w:rsidR="00972A5B" w:rsidRPr="00693DCC" w:rsidRDefault="00972A5B" w:rsidP="0092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C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1" w:type="dxa"/>
            <w:vAlign w:val="center"/>
          </w:tcPr>
          <w:p w:rsidR="00972A5B" w:rsidRPr="00693DCC" w:rsidRDefault="00972A5B" w:rsidP="0092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CC">
              <w:rPr>
                <w:rFonts w:ascii="Times New Roman" w:hAnsi="Times New Roman" w:cs="Times New Roman"/>
                <w:sz w:val="28"/>
                <w:szCs w:val="28"/>
              </w:rPr>
              <w:t>2,145</w:t>
            </w:r>
          </w:p>
        </w:tc>
        <w:tc>
          <w:tcPr>
            <w:tcW w:w="1871" w:type="dxa"/>
            <w:vAlign w:val="center"/>
          </w:tcPr>
          <w:p w:rsidR="00972A5B" w:rsidRPr="00693DCC" w:rsidRDefault="00972A5B" w:rsidP="0092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CC">
              <w:rPr>
                <w:rFonts w:ascii="Times New Roman" w:hAnsi="Times New Roman" w:cs="Times New Roman"/>
                <w:sz w:val="28"/>
                <w:szCs w:val="28"/>
              </w:rPr>
              <w:t>8429,22</w:t>
            </w:r>
          </w:p>
        </w:tc>
      </w:tr>
    </w:tbl>
    <w:p w:rsidR="007F12D5" w:rsidRP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7F12D5" w:rsidRP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7F12D5" w:rsidRP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7F12D5" w:rsidRDefault="007F12D5" w:rsidP="007F12D5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12D5" w:rsidRPr="00DB32BB" w:rsidRDefault="007F12D5" w:rsidP="00975854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975854" w:rsidRPr="00DB32BB" w:rsidRDefault="00975854" w:rsidP="00EE09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C16DA" w:rsidRDefault="009C16DA"/>
    <w:sectPr w:rsidR="009C16DA" w:rsidSect="00EE0962">
      <w:pgSz w:w="11909" w:h="16834"/>
      <w:pgMar w:top="1134" w:right="710" w:bottom="170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854"/>
    <w:rsid w:val="000069B4"/>
    <w:rsid w:val="000118CF"/>
    <w:rsid w:val="00033CC5"/>
    <w:rsid w:val="000479C5"/>
    <w:rsid w:val="000F0F58"/>
    <w:rsid w:val="001D725D"/>
    <w:rsid w:val="00245B1E"/>
    <w:rsid w:val="00403A0D"/>
    <w:rsid w:val="005049BB"/>
    <w:rsid w:val="0056073B"/>
    <w:rsid w:val="00597FD5"/>
    <w:rsid w:val="0061362A"/>
    <w:rsid w:val="00693DCC"/>
    <w:rsid w:val="006A55B5"/>
    <w:rsid w:val="006F1D1D"/>
    <w:rsid w:val="006F3C87"/>
    <w:rsid w:val="007D120E"/>
    <w:rsid w:val="007F12D5"/>
    <w:rsid w:val="00927F68"/>
    <w:rsid w:val="00972A5B"/>
    <w:rsid w:val="00975854"/>
    <w:rsid w:val="009C16DA"/>
    <w:rsid w:val="00B02D35"/>
    <w:rsid w:val="00BC7EA5"/>
    <w:rsid w:val="00C8171F"/>
    <w:rsid w:val="00D4680F"/>
    <w:rsid w:val="00DA73A2"/>
    <w:rsid w:val="00EE0962"/>
    <w:rsid w:val="00F10F0B"/>
    <w:rsid w:val="00FC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758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97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758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58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975854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3"/>
    <w:rsid w:val="0097585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7585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7585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975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7F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7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Lugovskoe</dc:creator>
  <cp:lastModifiedBy>user</cp:lastModifiedBy>
  <cp:revision>15</cp:revision>
  <cp:lastPrinted>2020-05-07T15:04:00Z</cp:lastPrinted>
  <dcterms:created xsi:type="dcterms:W3CDTF">2020-05-07T15:05:00Z</dcterms:created>
  <dcterms:modified xsi:type="dcterms:W3CDTF">2020-05-21T06:12:00Z</dcterms:modified>
</cp:coreProperties>
</file>