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ADD" w:rsidRPr="009D6ADD" w:rsidRDefault="009D6ADD" w:rsidP="009D6ADD">
      <w:pPr>
        <w:tabs>
          <w:tab w:val="left" w:pos="7399"/>
        </w:tabs>
        <w:suppressAutoHyphens w:val="0"/>
        <w:spacing w:after="0" w:line="259" w:lineRule="auto"/>
        <w:outlineLvl w:val="0"/>
        <w:rPr>
          <w:rFonts w:ascii="Times New Roman" w:hAnsi="Times New Roman" w:cs="Times New Roman"/>
          <w:sz w:val="28"/>
        </w:rPr>
      </w:pPr>
      <w:r w:rsidRPr="009D6ADD">
        <w:rPr>
          <w:rFonts w:ascii="Times New Roman" w:hAnsi="Times New Roman" w:cs="Times New Roman"/>
          <w:sz w:val="28"/>
        </w:rPr>
        <w:t xml:space="preserve">         Российская Федерация</w:t>
      </w:r>
      <w:r w:rsidRPr="009D6ADD">
        <w:rPr>
          <w:rFonts w:ascii="Times New Roman" w:hAnsi="Times New Roman" w:cs="Times New Roman"/>
          <w:sz w:val="28"/>
        </w:rPr>
        <w:tab/>
      </w:r>
    </w:p>
    <w:p w:rsidR="009D6ADD" w:rsidRPr="009D6ADD" w:rsidRDefault="009D6ADD" w:rsidP="009D6ADD">
      <w:pPr>
        <w:suppressAutoHyphens w:val="0"/>
        <w:spacing w:after="0" w:line="259" w:lineRule="auto"/>
        <w:outlineLvl w:val="0"/>
        <w:rPr>
          <w:rFonts w:ascii="Times New Roman" w:hAnsi="Times New Roman" w:cs="Times New Roman"/>
          <w:b/>
          <w:sz w:val="28"/>
        </w:rPr>
      </w:pPr>
      <w:r w:rsidRPr="009D6ADD">
        <w:rPr>
          <w:rFonts w:ascii="Times New Roman" w:hAnsi="Times New Roman" w:cs="Times New Roman"/>
          <w:sz w:val="28"/>
        </w:rPr>
        <w:t xml:space="preserve">               </w:t>
      </w:r>
      <w:r w:rsidRPr="009D6ADD">
        <w:rPr>
          <w:rFonts w:ascii="Times New Roman" w:hAnsi="Times New Roman" w:cs="Times New Roman"/>
          <w:b/>
          <w:sz w:val="28"/>
        </w:rPr>
        <w:t>Администрация</w:t>
      </w:r>
    </w:p>
    <w:p w:rsidR="009D6ADD" w:rsidRPr="009D6ADD" w:rsidRDefault="009D6ADD" w:rsidP="009D6ADD">
      <w:pPr>
        <w:suppressAutoHyphens w:val="0"/>
        <w:spacing w:after="0" w:line="259" w:lineRule="auto"/>
        <w:outlineLvl w:val="0"/>
        <w:rPr>
          <w:rFonts w:ascii="Times New Roman" w:hAnsi="Times New Roman" w:cs="Times New Roman"/>
          <w:b/>
          <w:sz w:val="28"/>
        </w:rPr>
      </w:pPr>
      <w:r w:rsidRPr="009D6ADD">
        <w:rPr>
          <w:rFonts w:ascii="Times New Roman" w:hAnsi="Times New Roman" w:cs="Times New Roman"/>
          <w:b/>
          <w:sz w:val="28"/>
        </w:rPr>
        <w:t xml:space="preserve">          Сельского поселения </w:t>
      </w:r>
    </w:p>
    <w:p w:rsidR="009D6ADD" w:rsidRPr="009D6ADD" w:rsidRDefault="009D6ADD" w:rsidP="009D6ADD">
      <w:pPr>
        <w:suppressAutoHyphens w:val="0"/>
        <w:spacing w:after="0" w:line="259" w:lineRule="auto"/>
        <w:outlineLvl w:val="0"/>
        <w:rPr>
          <w:rFonts w:ascii="Times New Roman" w:hAnsi="Times New Roman" w:cs="Times New Roman"/>
          <w:b/>
          <w:sz w:val="28"/>
        </w:rPr>
      </w:pPr>
      <w:r w:rsidRPr="009D6ADD">
        <w:rPr>
          <w:rFonts w:ascii="Times New Roman" w:hAnsi="Times New Roman" w:cs="Times New Roman"/>
          <w:b/>
          <w:sz w:val="28"/>
        </w:rPr>
        <w:t xml:space="preserve">                    Ильмень</w:t>
      </w:r>
    </w:p>
    <w:p w:rsidR="009D6ADD" w:rsidRPr="009D6ADD" w:rsidRDefault="009D6ADD" w:rsidP="009D6ADD">
      <w:pPr>
        <w:suppressAutoHyphens w:val="0"/>
        <w:spacing w:after="0" w:line="259" w:lineRule="auto"/>
        <w:outlineLvl w:val="0"/>
        <w:rPr>
          <w:rFonts w:ascii="Times New Roman" w:hAnsi="Times New Roman" w:cs="Times New Roman"/>
          <w:sz w:val="28"/>
        </w:rPr>
      </w:pPr>
      <w:r w:rsidRPr="009D6ADD">
        <w:rPr>
          <w:rFonts w:ascii="Times New Roman" w:hAnsi="Times New Roman" w:cs="Times New Roman"/>
          <w:sz w:val="28"/>
        </w:rPr>
        <w:t xml:space="preserve">        муниципального района </w:t>
      </w:r>
    </w:p>
    <w:p w:rsidR="009D6ADD" w:rsidRPr="009D6ADD" w:rsidRDefault="009D6ADD" w:rsidP="009D6ADD">
      <w:pPr>
        <w:suppressAutoHyphens w:val="0"/>
        <w:spacing w:after="0" w:line="259" w:lineRule="auto"/>
        <w:rPr>
          <w:rFonts w:ascii="Times New Roman" w:hAnsi="Times New Roman" w:cs="Times New Roman"/>
          <w:sz w:val="28"/>
        </w:rPr>
      </w:pPr>
      <w:r w:rsidRPr="009D6ADD">
        <w:rPr>
          <w:rFonts w:ascii="Times New Roman" w:hAnsi="Times New Roman" w:cs="Times New Roman"/>
          <w:sz w:val="28"/>
        </w:rPr>
        <w:t xml:space="preserve">                 Приволжский</w:t>
      </w:r>
    </w:p>
    <w:p w:rsidR="009D6ADD" w:rsidRPr="009D6ADD" w:rsidRDefault="009D6ADD" w:rsidP="009D6ADD">
      <w:pPr>
        <w:suppressAutoHyphens w:val="0"/>
        <w:spacing w:after="0" w:line="259" w:lineRule="auto"/>
        <w:rPr>
          <w:rFonts w:ascii="Times New Roman" w:hAnsi="Times New Roman" w:cs="Times New Roman"/>
          <w:sz w:val="28"/>
        </w:rPr>
      </w:pPr>
      <w:r w:rsidRPr="009D6ADD">
        <w:rPr>
          <w:rFonts w:ascii="Times New Roman" w:hAnsi="Times New Roman" w:cs="Times New Roman"/>
          <w:sz w:val="28"/>
        </w:rPr>
        <w:t xml:space="preserve">             Самарская область</w:t>
      </w:r>
    </w:p>
    <w:p w:rsidR="009D6ADD" w:rsidRPr="009D6ADD" w:rsidRDefault="009D6ADD" w:rsidP="009D6ADD">
      <w:pPr>
        <w:suppressAutoHyphens w:val="0"/>
        <w:spacing w:after="0" w:line="259" w:lineRule="auto"/>
        <w:rPr>
          <w:rFonts w:ascii="Times New Roman" w:hAnsi="Times New Roman" w:cs="Times New Roman"/>
          <w:sz w:val="28"/>
        </w:rPr>
      </w:pPr>
    </w:p>
    <w:p w:rsidR="009D6ADD" w:rsidRPr="009D6ADD" w:rsidRDefault="0038392C" w:rsidP="0038392C">
      <w:pPr>
        <w:suppressAutoHyphens w:val="0"/>
        <w:spacing w:after="0" w:line="240" w:lineRule="auto"/>
        <w:outlineLvl w:val="0"/>
        <w:rPr>
          <w:rFonts w:ascii="Times New Roman" w:hAnsi="Times New Roman" w:cs="Times New Roman"/>
          <w:b/>
          <w:sz w:val="28"/>
          <w:u w:val="single"/>
        </w:rPr>
      </w:pPr>
      <w:r>
        <w:rPr>
          <w:rFonts w:ascii="Times New Roman" w:hAnsi="Times New Roman" w:cs="Times New Roman"/>
          <w:sz w:val="28"/>
        </w:rPr>
        <w:t xml:space="preserve"> </w:t>
      </w:r>
      <w:r w:rsidR="009D6ADD" w:rsidRPr="009D6ADD">
        <w:rPr>
          <w:rFonts w:ascii="Times New Roman" w:hAnsi="Times New Roman" w:cs="Times New Roman"/>
          <w:sz w:val="28"/>
        </w:rPr>
        <w:t xml:space="preserve">     </w:t>
      </w:r>
      <w:r w:rsidR="009D6ADD" w:rsidRPr="009D6ADD">
        <w:rPr>
          <w:rFonts w:ascii="Times New Roman" w:hAnsi="Times New Roman" w:cs="Times New Roman"/>
          <w:b/>
          <w:sz w:val="28"/>
          <w:u w:val="single"/>
        </w:rPr>
        <w:t xml:space="preserve">ПОСТАНОВЛЕНИЕ </w:t>
      </w:r>
      <w:r w:rsidRPr="009D6ADD">
        <w:rPr>
          <w:rFonts w:ascii="Times New Roman" w:hAnsi="Times New Roman" w:cs="Times New Roman"/>
          <w:b/>
          <w:sz w:val="28"/>
          <w:u w:val="single"/>
        </w:rPr>
        <w:t>№ 32</w:t>
      </w:r>
    </w:p>
    <w:p w:rsidR="009D6ADD" w:rsidRPr="009D6ADD" w:rsidRDefault="009D6ADD" w:rsidP="0038392C">
      <w:pPr>
        <w:shd w:val="clear" w:color="auto" w:fill="FFFFFF"/>
        <w:suppressAutoHyphens w:val="0"/>
        <w:spacing w:after="0" w:line="240" w:lineRule="auto"/>
        <w:rPr>
          <w:rFonts w:ascii="Times New Roman" w:eastAsia="Times New Roman" w:hAnsi="Times New Roman" w:cs="Times New Roman"/>
          <w:color w:val="212121"/>
          <w:sz w:val="32"/>
          <w:szCs w:val="32"/>
          <w:lang w:eastAsia="ru-RU"/>
        </w:rPr>
      </w:pPr>
      <w:r w:rsidRPr="009D6ADD">
        <w:rPr>
          <w:rFonts w:ascii="Times New Roman" w:hAnsi="Times New Roman" w:cs="Times New Roman"/>
          <w:b/>
          <w:sz w:val="28"/>
        </w:rPr>
        <w:t xml:space="preserve">          </w:t>
      </w:r>
      <w:r>
        <w:rPr>
          <w:rFonts w:ascii="Times New Roman" w:hAnsi="Times New Roman" w:cs="Times New Roman"/>
          <w:b/>
          <w:sz w:val="28"/>
        </w:rPr>
        <w:t>«</w:t>
      </w:r>
      <w:r w:rsidR="00C42899">
        <w:rPr>
          <w:rFonts w:ascii="Times New Roman" w:hAnsi="Times New Roman" w:cs="Times New Roman"/>
          <w:b/>
          <w:sz w:val="28"/>
        </w:rPr>
        <w:t>17</w:t>
      </w:r>
      <w:r w:rsidR="00C42899" w:rsidRPr="009D6ADD">
        <w:rPr>
          <w:rFonts w:ascii="Times New Roman" w:hAnsi="Times New Roman" w:cs="Times New Roman"/>
          <w:b/>
          <w:sz w:val="28"/>
        </w:rPr>
        <w:t>» апреля 2024</w:t>
      </w:r>
      <w:r w:rsidRPr="009D6ADD">
        <w:rPr>
          <w:rFonts w:ascii="Times New Roman" w:hAnsi="Times New Roman" w:cs="Times New Roman"/>
          <w:b/>
          <w:sz w:val="28"/>
        </w:rPr>
        <w:t xml:space="preserve"> года</w:t>
      </w:r>
      <w:r w:rsidRPr="009D6ADD">
        <w:rPr>
          <w:rFonts w:ascii="Times New Roman" w:eastAsia="Times New Roman" w:hAnsi="Times New Roman" w:cs="Times New Roman"/>
          <w:color w:val="212121"/>
          <w:sz w:val="32"/>
          <w:szCs w:val="32"/>
          <w:lang w:eastAsia="ru-RU"/>
        </w:rPr>
        <w:t> </w:t>
      </w:r>
    </w:p>
    <w:p w:rsidR="009D6ADD" w:rsidRPr="00E277A1" w:rsidRDefault="009D6ADD" w:rsidP="0038392C">
      <w:pPr>
        <w:spacing w:after="0" w:line="240" w:lineRule="auto"/>
        <w:rPr>
          <w:rFonts w:ascii="Times New Roman" w:hAnsi="Times New Roman" w:cs="Times New Roman"/>
          <w:b/>
          <w:sz w:val="28"/>
          <w:szCs w:val="28"/>
        </w:rPr>
      </w:pPr>
    </w:p>
    <w:tbl>
      <w:tblPr>
        <w:tblW w:w="9262" w:type="dxa"/>
        <w:tblLayout w:type="fixed"/>
        <w:tblLook w:val="04A0" w:firstRow="1" w:lastRow="0" w:firstColumn="1" w:lastColumn="0" w:noHBand="0" w:noVBand="1"/>
      </w:tblPr>
      <w:tblGrid>
        <w:gridCol w:w="9262"/>
      </w:tblGrid>
      <w:tr w:rsidR="009D6ADD" w:rsidTr="00797F7D">
        <w:trPr>
          <w:cantSplit/>
          <w:trHeight w:val="109"/>
        </w:trPr>
        <w:tc>
          <w:tcPr>
            <w:tcW w:w="9262" w:type="dxa"/>
          </w:tcPr>
          <w:p w:rsidR="009D6ADD" w:rsidRPr="00E277A1" w:rsidRDefault="009D6ADD" w:rsidP="00797F7D">
            <w:pPr>
              <w:pStyle w:val="a4"/>
              <w:rPr>
                <w:rFonts w:ascii="Times New Roman" w:hAnsi="Times New Roman" w:cs="Times New Roman"/>
                <w:b/>
                <w:sz w:val="28"/>
                <w:szCs w:val="28"/>
              </w:rPr>
            </w:pPr>
          </w:p>
          <w:p w:rsidR="009D6ADD" w:rsidRPr="00E277A1" w:rsidRDefault="009D6ADD" w:rsidP="00797F7D">
            <w:pPr>
              <w:pStyle w:val="a4"/>
              <w:rPr>
                <w:rFonts w:ascii="Times New Roman" w:hAnsi="Times New Roman" w:cs="Times New Roman"/>
                <w:b/>
                <w:sz w:val="28"/>
                <w:szCs w:val="28"/>
              </w:rPr>
            </w:pPr>
            <w:r>
              <w:rPr>
                <w:rFonts w:ascii="Times New Roman" w:hAnsi="Times New Roman" w:cs="Times New Roman"/>
                <w:b/>
                <w:sz w:val="28"/>
                <w:szCs w:val="28"/>
              </w:rPr>
              <w:t>«</w:t>
            </w:r>
            <w:r w:rsidRPr="00E277A1">
              <w:rPr>
                <w:rFonts w:ascii="Times New Roman" w:hAnsi="Times New Roman" w:cs="Times New Roman"/>
                <w:b/>
                <w:sz w:val="28"/>
                <w:szCs w:val="28"/>
              </w:rPr>
              <w:t xml:space="preserve">О порядке </w:t>
            </w:r>
            <w:r>
              <w:rPr>
                <w:rFonts w:ascii="Times New Roman" w:hAnsi="Times New Roman" w:cs="Times New Roman"/>
                <w:b/>
                <w:sz w:val="28"/>
                <w:szCs w:val="28"/>
              </w:rPr>
              <w:t xml:space="preserve">учета и </w:t>
            </w:r>
            <w:r w:rsidRPr="00E277A1">
              <w:rPr>
                <w:rFonts w:ascii="Times New Roman" w:hAnsi="Times New Roman" w:cs="Times New Roman"/>
                <w:b/>
                <w:sz w:val="28"/>
                <w:szCs w:val="28"/>
              </w:rPr>
              <w:t>ведения реестра</w:t>
            </w:r>
            <w:r>
              <w:rPr>
                <w:rFonts w:ascii="Times New Roman" w:hAnsi="Times New Roman" w:cs="Times New Roman"/>
                <w:b/>
                <w:sz w:val="28"/>
                <w:szCs w:val="28"/>
              </w:rPr>
              <w:t xml:space="preserve"> </w:t>
            </w:r>
            <w:r w:rsidRPr="00E277A1">
              <w:rPr>
                <w:rFonts w:ascii="Times New Roman" w:hAnsi="Times New Roman" w:cs="Times New Roman"/>
                <w:b/>
                <w:sz w:val="28"/>
                <w:szCs w:val="28"/>
              </w:rPr>
              <w:t>муниципального имущества</w:t>
            </w:r>
            <w:r>
              <w:rPr>
                <w:rFonts w:ascii="Times New Roman" w:hAnsi="Times New Roman" w:cs="Times New Roman"/>
                <w:b/>
                <w:sz w:val="28"/>
                <w:szCs w:val="28"/>
              </w:rPr>
              <w:t xml:space="preserve"> сельского поселения Ильмень муниципального района Приволжский Самарской области».</w:t>
            </w:r>
          </w:p>
          <w:p w:rsidR="009D6ADD" w:rsidRPr="00E277A1" w:rsidRDefault="009D6ADD" w:rsidP="00797F7D">
            <w:pPr>
              <w:pStyle w:val="a4"/>
              <w:rPr>
                <w:rFonts w:ascii="Times New Roman" w:hAnsi="Times New Roman" w:cs="Times New Roman"/>
                <w:b/>
                <w:sz w:val="28"/>
                <w:szCs w:val="28"/>
              </w:rPr>
            </w:pPr>
          </w:p>
        </w:tc>
      </w:tr>
    </w:tbl>
    <w:p w:rsidR="009D6ADD" w:rsidRDefault="009D6ADD" w:rsidP="009D6AD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 Уставом сельского поселения Ильмень муниципального района Приволжский Самарской области</w:t>
      </w:r>
    </w:p>
    <w:p w:rsidR="009D6ADD" w:rsidRDefault="009D6ADD" w:rsidP="009D6ADD">
      <w:pPr>
        <w:pStyle w:val="ConsPlusNormal"/>
        <w:widowControl/>
        <w:ind w:firstLine="0"/>
        <w:jc w:val="both"/>
        <w:rPr>
          <w:rFonts w:ascii="Times New Roman" w:hAnsi="Times New Roman" w:cs="Times New Roman"/>
          <w:sz w:val="28"/>
          <w:szCs w:val="28"/>
        </w:rPr>
      </w:pPr>
    </w:p>
    <w:p w:rsidR="009D6ADD" w:rsidRDefault="009D6ADD" w:rsidP="009D6AD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9D6ADD" w:rsidRDefault="009D6ADD" w:rsidP="009D6ADD">
      <w:pPr>
        <w:pStyle w:val="ConsPlusNormal"/>
        <w:widowControl/>
        <w:jc w:val="both"/>
        <w:rPr>
          <w:rFonts w:ascii="Times New Roman" w:hAnsi="Times New Roman" w:cs="Times New Roman"/>
          <w:sz w:val="28"/>
          <w:szCs w:val="28"/>
        </w:rPr>
      </w:pPr>
    </w:p>
    <w:p w:rsidR="009D6ADD" w:rsidRDefault="009D6ADD" w:rsidP="009D6AD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1.Утвердить Порядок ведения реестра муниципального имущества сельского поселения Ильмень муниципального района Приволжский Самарской области, согласно приложению.</w:t>
      </w:r>
    </w:p>
    <w:p w:rsidR="009D6ADD" w:rsidRDefault="009D6ADD" w:rsidP="009D6AD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информационном бюллетене «Вестник сельского поселения Ильмень» и на официальном сайте сельского поселения Ильмень муниципального района Приволжский Самарской области.</w:t>
      </w:r>
    </w:p>
    <w:p w:rsidR="009D6ADD" w:rsidRDefault="009D6ADD" w:rsidP="009D6ADD">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3.Контроль за исполнением настоящего постановления оставляю за собой.</w:t>
      </w:r>
    </w:p>
    <w:p w:rsidR="009D6ADD" w:rsidRPr="00E277A1" w:rsidRDefault="009D6ADD" w:rsidP="009D6ADD">
      <w:pPr>
        <w:pStyle w:val="a4"/>
        <w:rPr>
          <w:rFonts w:ascii="Times New Roman" w:hAnsi="Times New Roman" w:cs="Times New Roman"/>
          <w:sz w:val="28"/>
          <w:szCs w:val="28"/>
        </w:rPr>
      </w:pPr>
      <w:r>
        <w:rPr>
          <w:rFonts w:ascii="Times New Roman" w:hAnsi="Times New Roman" w:cs="Times New Roman"/>
          <w:sz w:val="28"/>
          <w:szCs w:val="28"/>
        </w:rPr>
        <w:t xml:space="preserve">           </w:t>
      </w:r>
      <w:r w:rsidRPr="00E277A1">
        <w:rPr>
          <w:rFonts w:ascii="Times New Roman" w:hAnsi="Times New Roman" w:cs="Times New Roman"/>
          <w:sz w:val="28"/>
          <w:szCs w:val="28"/>
        </w:rPr>
        <w:t>4. Настоящее решение вступает в силу после его официального обнародования в установленном законом порядке.</w:t>
      </w:r>
    </w:p>
    <w:p w:rsidR="009D6ADD" w:rsidRDefault="009D6ADD" w:rsidP="009D6ADD">
      <w:pPr>
        <w:pStyle w:val="a4"/>
        <w:rPr>
          <w:rFonts w:ascii="Times New Roman" w:hAnsi="Times New Roman" w:cs="Times New Roman"/>
          <w:b/>
          <w:sz w:val="28"/>
          <w:szCs w:val="28"/>
        </w:rPr>
      </w:pPr>
    </w:p>
    <w:p w:rsidR="009D6ADD" w:rsidRDefault="009D6ADD" w:rsidP="009D6ADD">
      <w:pPr>
        <w:pStyle w:val="a4"/>
        <w:tabs>
          <w:tab w:val="left" w:pos="6255"/>
        </w:tabs>
        <w:rPr>
          <w:rFonts w:ascii="Times New Roman" w:hAnsi="Times New Roman" w:cs="Times New Roman"/>
          <w:b/>
          <w:sz w:val="28"/>
          <w:szCs w:val="28"/>
        </w:rPr>
      </w:pPr>
    </w:p>
    <w:p w:rsidR="009D6ADD" w:rsidRDefault="009D6ADD" w:rsidP="009D6ADD">
      <w:pPr>
        <w:pStyle w:val="a4"/>
        <w:tabs>
          <w:tab w:val="left" w:pos="6255"/>
        </w:tabs>
        <w:rPr>
          <w:rFonts w:ascii="Times New Roman" w:hAnsi="Times New Roman" w:cs="Times New Roman"/>
          <w:b/>
          <w:sz w:val="28"/>
          <w:szCs w:val="28"/>
        </w:rPr>
      </w:pPr>
    </w:p>
    <w:p w:rsidR="0038392C" w:rsidRDefault="0038392C" w:rsidP="009D6ADD">
      <w:pPr>
        <w:pStyle w:val="a4"/>
        <w:tabs>
          <w:tab w:val="left" w:pos="6255"/>
        </w:tabs>
        <w:rPr>
          <w:rFonts w:ascii="Times New Roman" w:hAnsi="Times New Roman" w:cs="Times New Roman"/>
          <w:b/>
          <w:sz w:val="28"/>
          <w:szCs w:val="28"/>
        </w:rPr>
      </w:pPr>
    </w:p>
    <w:p w:rsidR="009D6ADD" w:rsidRDefault="009D6ADD" w:rsidP="009D6ADD">
      <w:pPr>
        <w:pStyle w:val="a4"/>
        <w:tabs>
          <w:tab w:val="left" w:pos="6255"/>
        </w:tabs>
        <w:rPr>
          <w:rFonts w:ascii="Times New Roman" w:hAnsi="Times New Roman" w:cs="Times New Roman"/>
          <w:b/>
          <w:sz w:val="28"/>
          <w:szCs w:val="28"/>
        </w:rPr>
      </w:pPr>
      <w:r w:rsidRPr="00E277A1">
        <w:rPr>
          <w:rFonts w:ascii="Times New Roman" w:hAnsi="Times New Roman" w:cs="Times New Roman"/>
          <w:b/>
          <w:sz w:val="28"/>
          <w:szCs w:val="28"/>
        </w:rPr>
        <w:t>Глава сельского поселения</w:t>
      </w:r>
      <w:r>
        <w:rPr>
          <w:rFonts w:ascii="Times New Roman" w:hAnsi="Times New Roman" w:cs="Times New Roman"/>
          <w:b/>
          <w:sz w:val="28"/>
          <w:szCs w:val="28"/>
        </w:rPr>
        <w:tab/>
      </w:r>
      <w:proofErr w:type="spellStart"/>
      <w:r>
        <w:rPr>
          <w:rFonts w:ascii="Times New Roman" w:hAnsi="Times New Roman" w:cs="Times New Roman"/>
          <w:b/>
          <w:sz w:val="28"/>
          <w:szCs w:val="28"/>
        </w:rPr>
        <w:t>Н.В.Волчкова</w:t>
      </w:r>
      <w:proofErr w:type="spellEnd"/>
    </w:p>
    <w:p w:rsidR="009D6ADD" w:rsidRPr="00E277A1" w:rsidRDefault="009D6ADD" w:rsidP="009D6ADD">
      <w:pPr>
        <w:pStyle w:val="a4"/>
        <w:tabs>
          <w:tab w:val="left" w:pos="6255"/>
        </w:tabs>
        <w:rPr>
          <w:rFonts w:ascii="Times New Roman" w:hAnsi="Times New Roman" w:cs="Times New Roman"/>
          <w:b/>
          <w:sz w:val="28"/>
          <w:szCs w:val="28"/>
        </w:rPr>
      </w:pPr>
      <w:r>
        <w:rPr>
          <w:rFonts w:ascii="Times New Roman" w:hAnsi="Times New Roman" w:cs="Times New Roman"/>
          <w:b/>
          <w:sz w:val="28"/>
          <w:szCs w:val="28"/>
        </w:rPr>
        <w:t>Ильмень</w:t>
      </w:r>
    </w:p>
    <w:p w:rsidR="009D6ADD" w:rsidRPr="00E277A1" w:rsidRDefault="009D6ADD" w:rsidP="009D6ADD">
      <w:pPr>
        <w:spacing w:after="0" w:line="240" w:lineRule="auto"/>
        <w:jc w:val="both"/>
        <w:rPr>
          <w:rFonts w:ascii="Times New Roman" w:eastAsia="Times New Roman" w:hAnsi="Times New Roman" w:cs="Times New Roman"/>
          <w:sz w:val="28"/>
          <w:szCs w:val="28"/>
        </w:rPr>
      </w:pPr>
    </w:p>
    <w:p w:rsidR="0038392C" w:rsidRDefault="0038392C" w:rsidP="009D6ADD">
      <w:pPr>
        <w:pStyle w:val="a4"/>
        <w:ind w:firstLine="720"/>
        <w:jc w:val="right"/>
        <w:rPr>
          <w:rFonts w:ascii="Times New Roman" w:hAnsi="Times New Roman" w:cs="Times New Roman"/>
          <w:b/>
          <w:sz w:val="24"/>
          <w:szCs w:val="24"/>
          <w:lang w:eastAsia="ru-RU"/>
        </w:rPr>
      </w:pPr>
      <w:bookmarkStart w:id="0" w:name="_GoBack"/>
      <w:bookmarkEnd w:id="0"/>
    </w:p>
    <w:p w:rsidR="009D6ADD"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к</w:t>
      </w:r>
    </w:p>
    <w:p w:rsidR="009D6ADD"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Постановлению сельского </w:t>
      </w:r>
    </w:p>
    <w:p w:rsidR="009D6ADD"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поселения Ильмень</w:t>
      </w:r>
    </w:p>
    <w:p w:rsidR="009D6ADD"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муниципального </w:t>
      </w:r>
    </w:p>
    <w:p w:rsidR="009D6ADD"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района Приволжский</w:t>
      </w:r>
    </w:p>
    <w:p w:rsidR="009D6ADD"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Самарской области</w:t>
      </w:r>
    </w:p>
    <w:p w:rsidR="009D6ADD" w:rsidRPr="00E277A1" w:rsidRDefault="009D6ADD" w:rsidP="009D6ADD">
      <w:pPr>
        <w:pStyle w:val="a4"/>
        <w:ind w:firstLine="720"/>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от «17» апреля 2024 г. № 32</w:t>
      </w:r>
    </w:p>
    <w:p w:rsidR="009D6ADD" w:rsidRDefault="009D6ADD" w:rsidP="009D6ADD">
      <w:pPr>
        <w:pStyle w:val="a4"/>
        <w:ind w:firstLine="720"/>
        <w:jc w:val="center"/>
        <w:rPr>
          <w:rFonts w:ascii="Times New Roman" w:hAnsi="Times New Roman" w:cs="Times New Roman"/>
          <w:b/>
          <w:sz w:val="32"/>
          <w:szCs w:val="32"/>
          <w:lang w:eastAsia="ru-RU"/>
        </w:rPr>
      </w:pPr>
    </w:p>
    <w:p w:rsidR="009D6ADD" w:rsidRDefault="009D6ADD" w:rsidP="009D6ADD">
      <w:pPr>
        <w:pStyle w:val="a4"/>
        <w:ind w:firstLine="720"/>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 xml:space="preserve">Порядок </w:t>
      </w:r>
    </w:p>
    <w:p w:rsidR="009D6ADD" w:rsidRPr="00E277A1" w:rsidRDefault="009D6ADD" w:rsidP="009D6ADD">
      <w:pPr>
        <w:pStyle w:val="a4"/>
        <w:ind w:firstLine="720"/>
        <w:jc w:val="center"/>
        <w:rPr>
          <w:rFonts w:ascii="Times New Roman" w:hAnsi="Times New Roman" w:cs="Times New Roman"/>
          <w:b/>
          <w:sz w:val="32"/>
          <w:szCs w:val="32"/>
          <w:lang w:eastAsia="ru-RU"/>
        </w:rPr>
      </w:pPr>
      <w:r w:rsidRPr="00E277A1">
        <w:rPr>
          <w:rFonts w:ascii="Times New Roman" w:hAnsi="Times New Roman" w:cs="Times New Roman"/>
          <w:b/>
          <w:sz w:val="28"/>
          <w:szCs w:val="28"/>
        </w:rPr>
        <w:t xml:space="preserve">ведения реестра муниципального имущества сельского поселения </w:t>
      </w:r>
      <w:r>
        <w:rPr>
          <w:rFonts w:ascii="Times New Roman" w:hAnsi="Times New Roman" w:cs="Times New Roman"/>
          <w:b/>
          <w:sz w:val="28"/>
          <w:szCs w:val="28"/>
        </w:rPr>
        <w:t>Ильмень</w:t>
      </w:r>
      <w:r w:rsidRPr="00E277A1">
        <w:rPr>
          <w:rFonts w:ascii="Times New Roman" w:hAnsi="Times New Roman" w:cs="Times New Roman"/>
          <w:b/>
          <w:sz w:val="28"/>
          <w:szCs w:val="28"/>
        </w:rPr>
        <w:t xml:space="preserve"> муниципального района Приволжский Самарской области.</w:t>
      </w:r>
      <w:r w:rsidRPr="00E277A1">
        <w:rPr>
          <w:rFonts w:ascii="Times New Roman" w:hAnsi="Times New Roman" w:cs="Times New Roman"/>
          <w:b/>
          <w:sz w:val="32"/>
          <w:szCs w:val="32"/>
          <w:lang w:eastAsia="ru-RU"/>
        </w:rPr>
        <w:t xml:space="preserve"> </w:t>
      </w:r>
    </w:p>
    <w:p w:rsidR="009D6ADD" w:rsidRDefault="009D6ADD" w:rsidP="009D6ADD">
      <w:pPr>
        <w:pStyle w:val="a4"/>
        <w:ind w:firstLine="720"/>
        <w:jc w:val="center"/>
        <w:rPr>
          <w:rFonts w:ascii="Times New Roman" w:hAnsi="Times New Roman" w:cs="Times New Roman"/>
          <w:b/>
          <w:sz w:val="32"/>
          <w:szCs w:val="32"/>
          <w:lang w:eastAsia="ru-RU"/>
        </w:rPr>
      </w:pPr>
    </w:p>
    <w:p w:rsidR="009D6ADD" w:rsidRDefault="009D6ADD" w:rsidP="009D6ADD">
      <w:pPr>
        <w:pStyle w:val="a4"/>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I. Общие положения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Настоящий Порядок устанавливает правила ведения сельским поселением Ильмень муниципального района Приволжский Самарской области (далее -  орган местного самоуправления) реестров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Объектом учета муниципального имущества (далее - объект учета) является следующее муниципальное имущество: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Pr>
          <w:rFonts w:ascii="Times New Roman" w:hAnsi="Times New Roman" w:cs="Times New Roman"/>
          <w:sz w:val="28"/>
          <w:szCs w:val="28"/>
          <w:lang w:eastAsia="ru-RU"/>
        </w:rPr>
        <w:t>машино</w:t>
      </w:r>
      <w:proofErr w:type="spellEnd"/>
      <w:r>
        <w:rPr>
          <w:rFonts w:ascii="Times New Roman" w:hAnsi="Times New Roman" w:cs="Times New Roman"/>
          <w:sz w:val="28"/>
          <w:szCs w:val="28"/>
          <w:lang w:eastAsia="ru-RU"/>
        </w:rPr>
        <w:t>-места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представительных органов соответствующих муниципальных образований</w:t>
      </w:r>
      <w:hyperlink r:id="rId4" w:anchor="1111" w:history="1">
        <w:r>
          <w:rPr>
            <w:rStyle w:val="a3"/>
            <w:rFonts w:ascii="Times New Roman" w:hAnsi="Times New Roman" w:cs="Times New Roman"/>
            <w:sz w:val="28"/>
            <w:szCs w:val="28"/>
            <w:vertAlign w:val="superscript"/>
            <w:lang w:eastAsia="ru-RU"/>
          </w:rPr>
          <w:t>1</w:t>
        </w:r>
      </w:hyperlink>
      <w:r>
        <w:rPr>
          <w:rFonts w:ascii="Times New Roman" w:hAnsi="Times New Roman" w:cs="Times New Roman"/>
          <w:sz w:val="28"/>
          <w:szCs w:val="28"/>
          <w:lang w:eastAsia="ru-RU"/>
        </w:rPr>
        <w:t>;</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w:t>
      </w:r>
      <w:r>
        <w:rPr>
          <w:rFonts w:ascii="Times New Roman" w:hAnsi="Times New Roman" w:cs="Times New Roman"/>
          <w:sz w:val="28"/>
          <w:szCs w:val="28"/>
          <w:lang w:eastAsia="ru-RU"/>
        </w:rPr>
        <w:lastRenderedPageBreak/>
        <w:t>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 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 5485-1 "О государственной тайне" к государственной тайне, самостоятельно.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 Ведение реестров осуществляется уполномоченными органами местного самоуправления соответствующих муниципальных образований (далее - уполномоченный орган).</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Рекомендуемый образец выписки из реестра приведен в </w:t>
      </w:r>
      <w:hyperlink r:id="rId5" w:anchor="11000" w:history="1">
        <w:r>
          <w:rPr>
            <w:rStyle w:val="a3"/>
            <w:rFonts w:ascii="Times New Roman" w:hAnsi="Times New Roman" w:cs="Times New Roman"/>
            <w:sz w:val="28"/>
            <w:szCs w:val="28"/>
            <w:lang w:eastAsia="ru-RU"/>
          </w:rPr>
          <w:t>приложении</w:t>
        </w:r>
      </w:hyperlink>
      <w:r>
        <w:rPr>
          <w:rFonts w:ascii="Times New Roman" w:hAnsi="Times New Roman" w:cs="Times New Roman"/>
          <w:sz w:val="28"/>
          <w:szCs w:val="28"/>
          <w:lang w:eastAsia="ru-RU"/>
        </w:rPr>
        <w:t xml:space="preserve"> к настоящему Порядку.</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Реестры ведутся на бумажных </w:t>
      </w:r>
      <w:proofErr w:type="gramStart"/>
      <w:r>
        <w:rPr>
          <w:rFonts w:ascii="Times New Roman" w:hAnsi="Times New Roman" w:cs="Times New Roman"/>
          <w:sz w:val="28"/>
          <w:szCs w:val="28"/>
          <w:lang w:eastAsia="ru-RU"/>
        </w:rPr>
        <w:t>и  электронных</w:t>
      </w:r>
      <w:proofErr w:type="gramEnd"/>
      <w:r>
        <w:rPr>
          <w:rFonts w:ascii="Times New Roman" w:hAnsi="Times New Roman" w:cs="Times New Roman"/>
          <w:sz w:val="28"/>
          <w:szCs w:val="28"/>
          <w:lang w:eastAsia="ru-RU"/>
        </w:rPr>
        <w:t xml:space="preserve"> носителях.</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Способ ведения реестра определяется уполномоченным органом самостоятельно.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10. Неотъемлемой частью реестра являются: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документы, подтверждающие сведения, включаемые в реестр (далее - подтверждающие документы);</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б) иные документы, предусмотренные правовыми актами органов местного самоуправления.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содержащиеся в реестре, хранятся в соответствии с Федеральным законом от 22 октября 2004 г. № 125-ФЗ "Об архивном деле в Российской Федерации".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II. Состав сведений, подлежащих отражению в реестре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12. 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13. В раздел 1 вносятся сведения о недвижимом имуществе.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1.1 раздела 1 реестра вносятся сведения о земельных участках,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земельного участка;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кадастровый номер земельного участка (с датой присвоения);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сведения о стоимости земельного участка;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произведенном улучшении земельного участка;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назначение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(местоположение) объекта учета (с указанием кода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кадастровый номер объекта учета (с датой присвоения);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земельном участке, на котором расположен объект учета (кадастровый номер, форма собственности, площадь);</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инвентарный номер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сведения об объекте единого недвижимого комплекса, в том числе: сведения о зданиях, сооружениях, иных вещах, являющихся составляющими </w:t>
      </w:r>
      <w:r>
        <w:rPr>
          <w:rFonts w:ascii="Times New Roman" w:hAnsi="Times New Roman" w:cs="Times New Roman"/>
          <w:sz w:val="28"/>
          <w:szCs w:val="28"/>
          <w:lang w:eastAsia="ru-RU"/>
        </w:rPr>
        <w:lastRenderedPageBreak/>
        <w:t>единого недвижимого комплекса, сведения о земельном участке, на котором расположено здание, сооружение;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подраздел 1.3 раздела 1 реестра вносятся сведения о помещениях, </w:t>
      </w:r>
      <w:proofErr w:type="spellStart"/>
      <w:r>
        <w:rPr>
          <w:rFonts w:ascii="Times New Roman" w:hAnsi="Times New Roman" w:cs="Times New Roman"/>
          <w:sz w:val="28"/>
          <w:szCs w:val="28"/>
          <w:lang w:eastAsia="ru-RU"/>
        </w:rPr>
        <w:t>машино</w:t>
      </w:r>
      <w:proofErr w:type="spellEnd"/>
      <w:r>
        <w:rPr>
          <w:rFonts w:ascii="Times New Roman" w:hAnsi="Times New Roman" w:cs="Times New Roman"/>
          <w:sz w:val="28"/>
          <w:szCs w:val="28"/>
          <w:lang w:eastAsia="ru-RU"/>
        </w:rPr>
        <w:t>-местах и иных объектах, отнесенных законом к недвижимости,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назначение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 (местоположение) объекта учета (с указанием кода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кадастровый номер объекта учета (с датой присвоения);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здании, сооружении, в состав которого входит объект учета (кадастровый номер, форма собственности);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инвентарный номер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изменениях объекта учета (произведенных достройках, капитальном ремонте, реконструкции, модернизации, сносе);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1.4 раздела 1 реестра вносятся сведения о воздушных и морских судах, судах внутреннего плавания,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назначение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порт (место) регистрации и (или) место (аэродром) базирования (с указанием кода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регистрационный номер (с датой присвоения);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судна;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произведенных ремонте, модернизации судна;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раздел 2 вносятся сведения о движимом и ином имуществе.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2.1 раздела 2 реестра вносятся сведения об акциях,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доля (вклад) в уставном (складочном) капитале хозяйственного общества, товарищества в процентах;</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движимого имущества (иного имущества);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объекте учета, в том числе: марка, модель, год выпуска, инвентарный номер;</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размер доли в праве общей долевой собственности на объекты недвижимого и (или) движимого имущества;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стоимости доли;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лице, в пользу которого установлены ограничения (обременения);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раздел 3 вносятся сведения о лицах, обладающих правами на муниципальное имущество и сведениями о нем, в том числе: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сведения о правообладателях;</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реестровый номер объектов учета, принадлежащих на соответствующем вещном праве;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реестровый номер объектов учета, вещные права на которые ограничены (обременены) в пользу правообладателя;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сведения (при необходимости).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Ведение учета объекта учета без указания стоимостной оценки не допускается.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III. Порядок учета муниципального имущества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изменения касаются сведений о нескольких объектах учета, то правообладатель направляет заявление и документы, указанные в </w:t>
      </w:r>
      <w:hyperlink r:id="rId6" w:anchor="1017" w:history="1">
        <w:r>
          <w:rPr>
            <w:rStyle w:val="a3"/>
            <w:rFonts w:ascii="Times New Roman" w:hAnsi="Times New Roman" w:cs="Times New Roman"/>
            <w:sz w:val="28"/>
            <w:szCs w:val="28"/>
            <w:lang w:eastAsia="ru-RU"/>
          </w:rPr>
          <w:t>абзаце первом</w:t>
        </w:r>
      </w:hyperlink>
      <w:r>
        <w:rPr>
          <w:rFonts w:ascii="Times New Roman" w:hAnsi="Times New Roman" w:cs="Times New Roman"/>
          <w:sz w:val="28"/>
          <w:szCs w:val="28"/>
          <w:lang w:eastAsia="ru-RU"/>
        </w:rPr>
        <w:t xml:space="preserve"> настоящего пункта, в отношении каждого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w:t>
      </w:r>
      <w:hyperlink r:id="rId7" w:anchor="1018" w:history="1">
        <w:r>
          <w:rPr>
            <w:rStyle w:val="a3"/>
            <w:rFonts w:ascii="Times New Roman" w:hAnsi="Times New Roman" w:cs="Times New Roman"/>
            <w:sz w:val="28"/>
            <w:szCs w:val="28"/>
            <w:lang w:eastAsia="ru-RU"/>
          </w:rPr>
          <w:t>абзаце первом</w:t>
        </w:r>
      </w:hyperlink>
      <w:r>
        <w:rPr>
          <w:rFonts w:ascii="Times New Roman" w:hAnsi="Times New Roman" w:cs="Times New Roman"/>
          <w:sz w:val="28"/>
          <w:szCs w:val="28"/>
          <w:lang w:eastAsia="ru-RU"/>
        </w:rPr>
        <w:t xml:space="preserve"> настоящего пункта, в отношении каждого объекта учета.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Муниципальное образование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 Сведения об объекте учета, заявления и документы, указанные в </w:t>
      </w:r>
      <w:hyperlink r:id="rId8" w:anchor="1015" w:history="1">
        <w:r>
          <w:rPr>
            <w:rStyle w:val="a3"/>
            <w:rFonts w:ascii="Times New Roman" w:hAnsi="Times New Roman" w:cs="Times New Roman"/>
            <w:sz w:val="28"/>
            <w:szCs w:val="28"/>
            <w:lang w:eastAsia="ru-RU"/>
          </w:rPr>
          <w:t>пунктах 15 - 18</w:t>
        </w:r>
      </w:hyperlink>
      <w:r>
        <w:rPr>
          <w:rFonts w:ascii="Times New Roman" w:hAnsi="Times New Roman" w:cs="Times New Roman"/>
          <w:sz w:val="28"/>
          <w:szCs w:val="28"/>
          <w:lang w:eastAsia="ru-RU"/>
        </w:rPr>
        <w:t xml:space="preserve">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w:t>
      </w:r>
      <w:r>
        <w:rPr>
          <w:rFonts w:ascii="Times New Roman" w:hAnsi="Times New Roman" w:cs="Times New Roman"/>
          <w:sz w:val="28"/>
          <w:szCs w:val="28"/>
          <w:lang w:eastAsia="ru-RU"/>
        </w:rPr>
        <w:lastRenderedPageBreak/>
        <w:t>подписанного с использованием усиленной квалифицированной электронной подписи уполномоченным должностным лицом правообладателя.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 Муниципальное </w:t>
      </w:r>
      <w:proofErr w:type="gramStart"/>
      <w:r>
        <w:rPr>
          <w:rFonts w:ascii="Times New Roman" w:hAnsi="Times New Roman" w:cs="Times New Roman"/>
          <w:sz w:val="28"/>
          <w:szCs w:val="28"/>
          <w:lang w:eastAsia="ru-RU"/>
        </w:rPr>
        <w:t>образование  в</w:t>
      </w:r>
      <w:proofErr w:type="gramEnd"/>
      <w:r>
        <w:rPr>
          <w:rFonts w:ascii="Times New Roman" w:hAnsi="Times New Roman" w:cs="Times New Roman"/>
          <w:sz w:val="28"/>
          <w:szCs w:val="28"/>
          <w:lang w:eastAsia="ru-RU"/>
        </w:rPr>
        <w:t xml:space="preserve">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 о приостановлении процедуры учета в реестре объекта учета в следующих случаях:</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установлены неполнота и (или) недостоверность содержащихся в документах правообладателя сведений;</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принятия муниципальным образованием решения, предусмотренного </w:t>
      </w:r>
      <w:hyperlink r:id="rId9" w:anchor="1223" w:history="1">
        <w:r>
          <w:rPr>
            <w:rStyle w:val="a3"/>
            <w:rFonts w:ascii="Times New Roman" w:hAnsi="Times New Roman" w:cs="Times New Roman"/>
            <w:sz w:val="28"/>
            <w:szCs w:val="28"/>
            <w:lang w:eastAsia="ru-RU"/>
          </w:rPr>
          <w:t>подпунктом "в"</w:t>
        </w:r>
      </w:hyperlink>
      <w:r>
        <w:rPr>
          <w:rFonts w:ascii="Times New Roman" w:hAnsi="Times New Roman" w:cs="Times New Roman"/>
          <w:sz w:val="28"/>
          <w:szCs w:val="28"/>
          <w:lang w:eastAsia="ru-RU"/>
        </w:rPr>
        <w:t xml:space="preserve">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В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муниципальное </w:t>
      </w:r>
      <w:proofErr w:type="gramStart"/>
      <w:r>
        <w:rPr>
          <w:rFonts w:ascii="Times New Roman" w:hAnsi="Times New Roman" w:cs="Times New Roman"/>
          <w:sz w:val="28"/>
          <w:szCs w:val="28"/>
          <w:lang w:eastAsia="ru-RU"/>
        </w:rPr>
        <w:t>образование  в</w:t>
      </w:r>
      <w:proofErr w:type="gramEnd"/>
      <w:r>
        <w:rPr>
          <w:rFonts w:ascii="Times New Roman" w:hAnsi="Times New Roman" w:cs="Times New Roman"/>
          <w:sz w:val="28"/>
          <w:szCs w:val="28"/>
          <w:lang w:eastAsia="ru-RU"/>
        </w:rPr>
        <w:t xml:space="preserve"> 7-дневный срок:</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 вносит в реестр сведения об объекте учета, в том числе о правообладателях (при наличии);</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w:t>
      </w:r>
      <w:r>
        <w:t xml:space="preserve"> </w:t>
      </w:r>
      <w:r>
        <w:rPr>
          <w:rFonts w:ascii="Times New Roman" w:hAnsi="Times New Roman" w:cs="Times New Roman"/>
          <w:sz w:val="28"/>
          <w:szCs w:val="28"/>
          <w:lang w:eastAsia="ru-RU"/>
        </w:rPr>
        <w:t xml:space="preserve">муниципальное </w:t>
      </w:r>
      <w:proofErr w:type="gramStart"/>
      <w:r>
        <w:rPr>
          <w:rFonts w:ascii="Times New Roman" w:hAnsi="Times New Roman" w:cs="Times New Roman"/>
          <w:sz w:val="28"/>
          <w:szCs w:val="28"/>
          <w:lang w:eastAsia="ru-RU"/>
        </w:rPr>
        <w:t>образование  (</w:t>
      </w:r>
      <w:proofErr w:type="gramEnd"/>
      <w:r>
        <w:rPr>
          <w:rFonts w:ascii="Times New Roman" w:hAnsi="Times New Roman" w:cs="Times New Roman"/>
          <w:sz w:val="28"/>
          <w:szCs w:val="28"/>
          <w:lang w:eastAsia="ru-RU"/>
        </w:rPr>
        <w:t>в том числе с дополнительными документами, подтверждающими недостающие в реестре сведения).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муниципальным образованием в порядке, установленном </w:t>
      </w:r>
      <w:hyperlink r:id="rId10" w:anchor="1015" w:history="1">
        <w:r>
          <w:rPr>
            <w:rStyle w:val="a3"/>
            <w:rFonts w:ascii="Times New Roman" w:hAnsi="Times New Roman" w:cs="Times New Roman"/>
            <w:sz w:val="28"/>
            <w:szCs w:val="28"/>
            <w:lang w:eastAsia="ru-RU"/>
          </w:rPr>
          <w:t>пунктами 15 - 23</w:t>
        </w:r>
      </w:hyperlink>
      <w:r>
        <w:rPr>
          <w:rFonts w:ascii="Times New Roman" w:hAnsi="Times New Roman" w:cs="Times New Roman"/>
          <w:sz w:val="28"/>
          <w:szCs w:val="28"/>
          <w:lang w:eastAsia="ru-RU"/>
        </w:rPr>
        <w:t xml:space="preserve"> настоящего Порядка.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муниципальным </w:t>
      </w:r>
      <w:proofErr w:type="gramStart"/>
      <w:r>
        <w:rPr>
          <w:rFonts w:ascii="Times New Roman" w:hAnsi="Times New Roman" w:cs="Times New Roman"/>
          <w:sz w:val="28"/>
          <w:szCs w:val="28"/>
          <w:lang w:eastAsia="ru-RU"/>
        </w:rPr>
        <w:t>образованием  самостоятельно</w:t>
      </w:r>
      <w:proofErr w:type="gramEnd"/>
      <w:r>
        <w:rPr>
          <w:rFonts w:ascii="Times New Roman" w:hAnsi="Times New Roman" w:cs="Times New Roman"/>
          <w:sz w:val="28"/>
          <w:szCs w:val="28"/>
          <w:lang w:eastAsia="ru-RU"/>
        </w:rPr>
        <w:t>.</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IV. Предоставление информации из реестра</w:t>
      </w:r>
    </w:p>
    <w:p w:rsidR="009D6ADD" w:rsidRDefault="009D6ADD" w:rsidP="009D6ADD">
      <w:pPr>
        <w:pStyle w:val="a4"/>
        <w:ind w:firstLine="720"/>
        <w:jc w:val="both"/>
        <w:rPr>
          <w:rFonts w:ascii="Times New Roman" w:hAnsi="Times New Roman" w:cs="Times New Roman"/>
          <w:sz w:val="28"/>
          <w:szCs w:val="28"/>
          <w:lang w:eastAsia="ru-RU"/>
        </w:rPr>
      </w:pPr>
      <w:bookmarkStart w:id="1" w:name="1"/>
      <w:bookmarkStart w:id="2" w:name="1027"/>
      <w:bookmarkEnd w:id="1"/>
      <w:bookmarkEnd w:id="2"/>
      <w:r>
        <w:rPr>
          <w:rFonts w:ascii="Times New Roman" w:hAnsi="Times New Roman" w:cs="Times New Roman"/>
          <w:sz w:val="28"/>
          <w:szCs w:val="28"/>
          <w:lang w:eastAsia="ru-RU"/>
        </w:rPr>
        <w:t>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w:t>
      </w:r>
      <w:hyperlink r:id="rId11" w:anchor="1112" w:history="1">
        <w:r>
          <w:rPr>
            <w:rStyle w:val="a3"/>
            <w:rFonts w:ascii="Times New Roman" w:hAnsi="Times New Roman" w:cs="Times New Roman"/>
            <w:sz w:val="28"/>
            <w:szCs w:val="28"/>
            <w:vertAlign w:val="superscript"/>
            <w:lang w:eastAsia="ru-RU"/>
          </w:rPr>
          <w:t>2</w:t>
        </w:r>
      </w:hyperlink>
      <w:r>
        <w:rPr>
          <w:rFonts w:ascii="Times New Roman" w:hAnsi="Times New Roman" w:cs="Times New Roman"/>
          <w:sz w:val="28"/>
          <w:szCs w:val="28"/>
          <w:lang w:eastAsia="ru-RU"/>
        </w:rPr>
        <w:t>,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Муниципальное образование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предоставления информации безвозмездно в порядке, предусмотренном </w:t>
      </w:r>
      <w:hyperlink r:id="rId12" w:anchor="1029" w:history="1">
        <w:r>
          <w:rPr>
            <w:rStyle w:val="a3"/>
            <w:rFonts w:ascii="Times New Roman" w:hAnsi="Times New Roman" w:cs="Times New Roman"/>
            <w:sz w:val="28"/>
            <w:szCs w:val="28"/>
            <w:lang w:eastAsia="ru-RU"/>
          </w:rPr>
          <w:t>пунктом 29</w:t>
        </w:r>
      </w:hyperlink>
      <w:r>
        <w:rPr>
          <w:rFonts w:ascii="Times New Roman" w:hAnsi="Times New Roman" w:cs="Times New Roman"/>
          <w:sz w:val="28"/>
          <w:szCs w:val="28"/>
          <w:lang w:eastAsia="ru-RU"/>
        </w:rPr>
        <w:t xml:space="preserve"> настоящего Порядка.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29. Муниципальное образование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 им муниципального имущества.</w:t>
      </w: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к порядку</w:t>
      </w:r>
    </w:p>
    <w:p w:rsidR="009D6ADD" w:rsidRDefault="009D6ADD" w:rsidP="009D6ADD">
      <w:pPr>
        <w:pStyle w:val="a4"/>
        <w:ind w:firstLine="720"/>
        <w:jc w:val="right"/>
        <w:rPr>
          <w:rFonts w:ascii="Times New Roman" w:hAnsi="Times New Roman" w:cs="Times New Roman"/>
          <w:sz w:val="28"/>
          <w:szCs w:val="28"/>
          <w:lang w:eastAsia="ru-RU"/>
        </w:rPr>
      </w:pPr>
    </w:p>
    <w:p w:rsidR="009D6ADD" w:rsidRDefault="009D6ADD" w:rsidP="009D6ADD">
      <w:pPr>
        <w:pStyle w:val="a4"/>
        <w:ind w:firstLine="720"/>
        <w:jc w:val="both"/>
        <w:rPr>
          <w:rFonts w:ascii="Times New Roman" w:hAnsi="Times New Roman" w:cs="Times New Roman"/>
          <w:b/>
          <w:sz w:val="28"/>
          <w:szCs w:val="28"/>
          <w:lang w:eastAsia="ru-RU"/>
        </w:rPr>
      </w:pPr>
      <w:r>
        <w:rPr>
          <w:rFonts w:ascii="Times New Roman" w:hAnsi="Times New Roman" w:cs="Times New Roman"/>
          <w:sz w:val="28"/>
          <w:szCs w:val="28"/>
          <w:lang w:eastAsia="ru-RU"/>
        </w:rPr>
        <w:t>                                    </w:t>
      </w:r>
      <w:r>
        <w:rPr>
          <w:rFonts w:ascii="Times New Roman" w:hAnsi="Times New Roman" w:cs="Times New Roman"/>
          <w:b/>
          <w:sz w:val="28"/>
          <w:szCs w:val="28"/>
          <w:lang w:eastAsia="ru-RU"/>
        </w:rPr>
        <w:t>ВЫПИСКА №______</w:t>
      </w:r>
    </w:p>
    <w:p w:rsidR="009D6ADD" w:rsidRDefault="009D6ADD" w:rsidP="009D6ADD">
      <w:pPr>
        <w:pStyle w:val="a4"/>
        <w:ind w:firstLine="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из реестра муниципального имущества об объекте</w:t>
      </w:r>
    </w:p>
    <w:p w:rsidR="009D6ADD" w:rsidRDefault="009D6ADD" w:rsidP="009D6ADD">
      <w:pPr>
        <w:pStyle w:val="a4"/>
        <w:ind w:firstLine="72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учета муниципального имущества</w:t>
      </w:r>
    </w:p>
    <w:p w:rsidR="009D6ADD" w:rsidRDefault="009D6ADD" w:rsidP="009D6ADD">
      <w:pPr>
        <w:pStyle w:val="a4"/>
        <w:ind w:firstLine="720"/>
        <w:jc w:val="both"/>
        <w:rPr>
          <w:rFonts w:ascii="Times New Roman" w:hAnsi="Times New Roman" w:cs="Times New Roman"/>
          <w:b/>
          <w:sz w:val="28"/>
          <w:szCs w:val="28"/>
          <w:lang w:eastAsia="ru-RU"/>
        </w:rPr>
      </w:pP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"____"______________20___г.</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Орган   местного    самоуправления, уполномоченный   </w:t>
      </w:r>
      <w:proofErr w:type="gramStart"/>
      <w:r>
        <w:rPr>
          <w:rFonts w:ascii="Times New Roman" w:hAnsi="Times New Roman" w:cs="Times New Roman"/>
          <w:sz w:val="28"/>
          <w:szCs w:val="28"/>
          <w:lang w:eastAsia="ru-RU"/>
        </w:rPr>
        <w:t>на  ведение</w:t>
      </w:r>
      <w:proofErr w:type="gramEnd"/>
      <w:r>
        <w:rPr>
          <w:rFonts w:ascii="Times New Roman" w:hAnsi="Times New Roman" w:cs="Times New Roman"/>
          <w:sz w:val="28"/>
          <w:szCs w:val="28"/>
          <w:lang w:eastAsia="ru-RU"/>
        </w:rPr>
        <w:t xml:space="preserve">  реестра муниципального имущества__________________________________</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органа местного самоуправления,</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уполномоченного на ведение реестра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муниципального имущества)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Заявитель_____________________________________________________</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юридического лица, фамилия, имя, отчество</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наличии) физического лица)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1. Сведения об объекте муниципального имущества</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 и наименование объекта учета_____________________________</w:t>
      </w:r>
    </w:p>
    <w:p w:rsidR="009D6ADD" w:rsidRDefault="009D6ADD" w:rsidP="009D6ADD">
      <w:pPr>
        <w:pStyle w:val="a4"/>
        <w:ind w:firstLine="720"/>
        <w:jc w:val="both"/>
        <w:rPr>
          <w:rFonts w:ascii="Times New Roman" w:hAnsi="Times New Roman" w:cs="Times New Roman"/>
          <w:sz w:val="28"/>
          <w:szCs w:val="28"/>
          <w:lang w:eastAsia="ru-RU"/>
        </w:rPr>
      </w:pPr>
    </w:p>
    <w:tbl>
      <w:tblPr>
        <w:tblW w:w="11511" w:type="dxa"/>
        <w:tblInd w:w="-93" w:type="dxa"/>
        <w:tblLayout w:type="fixed"/>
        <w:tblCellMar>
          <w:top w:w="15" w:type="dxa"/>
          <w:left w:w="15" w:type="dxa"/>
          <w:bottom w:w="15" w:type="dxa"/>
          <w:right w:w="15" w:type="dxa"/>
        </w:tblCellMar>
        <w:tblLook w:val="04A0" w:firstRow="1" w:lastRow="0" w:firstColumn="1" w:lastColumn="0" w:noHBand="0" w:noVBand="1"/>
      </w:tblPr>
      <w:tblGrid>
        <w:gridCol w:w="2006"/>
        <w:gridCol w:w="88"/>
        <w:gridCol w:w="30"/>
        <w:gridCol w:w="438"/>
        <w:gridCol w:w="209"/>
        <w:gridCol w:w="3305"/>
        <w:gridCol w:w="941"/>
        <w:gridCol w:w="4258"/>
        <w:gridCol w:w="236"/>
      </w:tblGrid>
      <w:tr w:rsidR="009D6ADD" w:rsidTr="00797F7D">
        <w:trPr>
          <w:trHeight w:val="525"/>
        </w:trPr>
        <w:tc>
          <w:tcPr>
            <w:tcW w:w="2039" w:type="dxa"/>
            <w:tcBorders>
              <w:top w:val="single" w:sz="4" w:space="0" w:color="000000"/>
              <w:left w:val="single" w:sz="4" w:space="0" w:color="000000"/>
              <w:bottom w:val="single" w:sz="4" w:space="0" w:color="000000"/>
              <w:righ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Реестровый номер</w:t>
            </w:r>
          </w:p>
        </w:tc>
        <w:tc>
          <w:tcPr>
            <w:tcW w:w="89" w:type="dxa"/>
            <w:tcBorders>
              <w:top w:val="single" w:sz="4" w:space="0" w:color="000000"/>
              <w:left w:val="single" w:sz="4" w:space="0" w:color="000000"/>
              <w:bottom w:val="single" w:sz="4" w:space="0" w:color="000000"/>
            </w:tcBorders>
          </w:tcPr>
          <w:p w:rsidR="009D6ADD" w:rsidRDefault="009D6ADD" w:rsidP="00797F7D">
            <w:pPr>
              <w:widowControl w:val="0"/>
              <w:rPr>
                <w:rFonts w:ascii="Times New Roman" w:hAnsi="Times New Roman" w:cs="Times New Roman"/>
                <w:sz w:val="28"/>
                <w:szCs w:val="28"/>
                <w:lang w:eastAsia="ru-RU"/>
              </w:rPr>
            </w:pPr>
          </w:p>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475" w:type="dxa"/>
            <w:gridSpan w:val="2"/>
            <w:tcBorders>
              <w:top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212" w:type="dxa"/>
            <w:tcBorders>
              <w:righ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3360" w:type="dxa"/>
            <w:tcBorders>
              <w:top w:val="single" w:sz="4" w:space="0" w:color="000000"/>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left="180"/>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Дата присвоения</w:t>
            </w:r>
          </w:p>
        </w:tc>
        <w:tc>
          <w:tcPr>
            <w:tcW w:w="956" w:type="dxa"/>
            <w:tcBorders>
              <w:top w:val="single" w:sz="4" w:space="0" w:color="000000"/>
              <w:left w:val="single" w:sz="4" w:space="0" w:color="000000"/>
              <w:bottom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4379" w:type="dxa"/>
            <w:gridSpan w:val="2"/>
            <w:tcBorders>
              <w:lef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r>
      <w:tr w:rsidR="009D6ADD" w:rsidTr="00797F7D">
        <w:trPr>
          <w:trHeight w:val="120"/>
        </w:trPr>
        <w:tc>
          <w:tcPr>
            <w:tcW w:w="2158" w:type="dxa"/>
            <w:gridSpan w:val="3"/>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445" w:type="dxa"/>
          </w:tcPr>
          <w:p w:rsidR="009D6ADD" w:rsidRDefault="009D6ADD" w:rsidP="00797F7D">
            <w:pPr>
              <w:widowControl w:val="0"/>
              <w:spacing w:after="0"/>
              <w:rPr>
                <w:rFonts w:cs="Times New Roman"/>
              </w:rPr>
            </w:pPr>
          </w:p>
        </w:tc>
        <w:tc>
          <w:tcPr>
            <w:tcW w:w="8858" w:type="dxa"/>
            <w:gridSpan w:val="4"/>
          </w:tcPr>
          <w:p w:rsidR="009D6ADD" w:rsidRDefault="009D6ADD" w:rsidP="00797F7D">
            <w:pPr>
              <w:widowControl w:val="0"/>
              <w:spacing w:after="0"/>
              <w:rPr>
                <w:rFonts w:cs="Times New Roman"/>
              </w:rPr>
            </w:pPr>
          </w:p>
        </w:tc>
        <w:tc>
          <w:tcPr>
            <w:tcW w:w="49" w:type="dxa"/>
            <w:tcMar>
              <w:top w:w="0" w:type="dxa"/>
              <w:left w:w="108" w:type="dxa"/>
              <w:bottom w:w="0" w:type="dxa"/>
              <w:right w:w="108" w:type="dxa"/>
            </w:tcMar>
          </w:tcPr>
          <w:p w:rsidR="009D6ADD" w:rsidRDefault="009D6ADD" w:rsidP="00797F7D">
            <w:pPr>
              <w:widowControl w:val="0"/>
            </w:pPr>
          </w:p>
        </w:tc>
      </w:tr>
    </w:tbl>
    <w:p w:rsidR="009D6ADD" w:rsidRDefault="009D6ADD" w:rsidP="009D6ADD">
      <w:pPr>
        <w:pStyle w:val="a4"/>
        <w:ind w:firstLine="720"/>
        <w:jc w:val="both"/>
        <w:rPr>
          <w:rFonts w:ascii="Times New Roman" w:hAnsi="Times New Roman" w:cs="Times New Roman"/>
          <w:vanish/>
          <w:sz w:val="28"/>
          <w:szCs w:val="28"/>
          <w:lang w:eastAsia="ru-RU"/>
        </w:rPr>
      </w:pPr>
    </w:p>
    <w:tbl>
      <w:tblPr>
        <w:tblW w:w="8976" w:type="dxa"/>
        <w:tblInd w:w="-93" w:type="dxa"/>
        <w:tblLayout w:type="fixed"/>
        <w:tblCellMar>
          <w:top w:w="15" w:type="dxa"/>
          <w:left w:w="15" w:type="dxa"/>
          <w:bottom w:w="15" w:type="dxa"/>
          <w:right w:w="15" w:type="dxa"/>
        </w:tblCellMar>
        <w:tblLook w:val="04A0" w:firstRow="1" w:lastRow="0" w:firstColumn="1" w:lastColumn="0" w:noHBand="0" w:noVBand="1"/>
      </w:tblPr>
      <w:tblGrid>
        <w:gridCol w:w="4440"/>
        <w:gridCol w:w="4394"/>
        <w:gridCol w:w="142"/>
      </w:tblGrid>
      <w:tr w:rsidR="009D6ADD" w:rsidTr="00797F7D">
        <w:trPr>
          <w:trHeight w:val="300"/>
        </w:trPr>
        <w:tc>
          <w:tcPr>
            <w:tcW w:w="4440" w:type="dxa"/>
            <w:tcBorders>
              <w:top w:val="single" w:sz="4" w:space="0" w:color="000000"/>
              <w:bottom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Наименования сведений</w:t>
            </w:r>
          </w:p>
        </w:tc>
        <w:tc>
          <w:tcPr>
            <w:tcW w:w="4394" w:type="dxa"/>
            <w:tcBorders>
              <w:top w:val="single" w:sz="4" w:space="0" w:color="000000"/>
              <w:left w:val="single" w:sz="4" w:space="0" w:color="000000"/>
              <w:bottom w:val="single" w:sz="4" w:space="0" w:color="000000"/>
              <w:righ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Значения сведений</w:t>
            </w:r>
          </w:p>
        </w:tc>
        <w:tc>
          <w:tcPr>
            <w:tcW w:w="142" w:type="dxa"/>
            <w:vMerge w:val="restart"/>
            <w:tcBorders>
              <w:lef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r>
      <w:tr w:rsidR="009D6ADD" w:rsidTr="00797F7D">
        <w:trPr>
          <w:trHeight w:val="15"/>
        </w:trPr>
        <w:tc>
          <w:tcPr>
            <w:tcW w:w="4440" w:type="dxa"/>
            <w:tcBorders>
              <w:top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4394" w:type="dxa"/>
            <w:tcBorders>
              <w:top w:val="single" w:sz="4" w:space="0" w:color="000000"/>
              <w:left w:val="single" w:sz="4" w:space="0" w:color="000000"/>
              <w:right w:val="single" w:sz="4" w:space="0" w:color="000000"/>
            </w:tcBorders>
          </w:tcPr>
          <w:p w:rsidR="009D6ADD" w:rsidRDefault="009D6ADD" w:rsidP="00797F7D">
            <w:pPr>
              <w:widowControl w:val="0"/>
              <w:spacing w:after="0"/>
              <w:rPr>
                <w:rFonts w:cs="Times New Roman"/>
              </w:rPr>
            </w:pPr>
          </w:p>
        </w:tc>
        <w:tc>
          <w:tcPr>
            <w:tcW w:w="142" w:type="dxa"/>
            <w:vMerge/>
            <w:tcBorders>
              <w:left w:val="single" w:sz="4" w:space="0" w:color="000000"/>
            </w:tcBorders>
            <w:tcMar>
              <w:top w:w="0" w:type="dxa"/>
              <w:left w:w="108" w:type="dxa"/>
              <w:bottom w:w="0" w:type="dxa"/>
              <w:right w:w="108" w:type="dxa"/>
            </w:tcMar>
            <w:vAlign w:val="center"/>
          </w:tcPr>
          <w:p w:rsidR="009D6ADD" w:rsidRDefault="009D6ADD" w:rsidP="00797F7D">
            <w:pPr>
              <w:widowControl w:val="0"/>
              <w:spacing w:after="0" w:line="240" w:lineRule="auto"/>
              <w:rPr>
                <w:rFonts w:ascii="Times New Roman" w:hAnsi="Times New Roman" w:cs="Times New Roman"/>
                <w:sz w:val="28"/>
                <w:szCs w:val="28"/>
                <w:lang w:eastAsia="ru-RU"/>
              </w:rPr>
            </w:pPr>
          </w:p>
        </w:tc>
      </w:tr>
      <w:tr w:rsidR="009D6ADD" w:rsidTr="00797F7D">
        <w:trPr>
          <w:trHeight w:val="135"/>
        </w:trPr>
        <w:tc>
          <w:tcPr>
            <w:tcW w:w="4440" w:type="dxa"/>
            <w:tcBorders>
              <w:bottom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4394" w:type="dxa"/>
            <w:tcBorders>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42" w:type="dxa"/>
            <w:vMerge w:val="restart"/>
            <w:tcBorders>
              <w:lef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r>
      <w:tr w:rsidR="009D6ADD" w:rsidTr="00797F7D">
        <w:trPr>
          <w:trHeight w:val="180"/>
        </w:trPr>
        <w:tc>
          <w:tcPr>
            <w:tcW w:w="4440" w:type="dxa"/>
            <w:tcBorders>
              <w:top w:val="single" w:sz="4" w:space="0" w:color="000000"/>
            </w:tcBorders>
          </w:tcPr>
          <w:p w:rsidR="009D6ADD" w:rsidRDefault="009D6ADD" w:rsidP="00797F7D">
            <w:pPr>
              <w:widowControl w:val="0"/>
              <w:spacing w:after="0"/>
              <w:rPr>
                <w:rFonts w:cs="Times New Roman"/>
              </w:rPr>
            </w:pPr>
          </w:p>
        </w:tc>
        <w:tc>
          <w:tcPr>
            <w:tcW w:w="4394" w:type="dxa"/>
            <w:tcBorders>
              <w:top w:val="single" w:sz="4" w:space="0" w:color="000000"/>
              <w:left w:val="single" w:sz="4" w:space="0" w:color="000000"/>
              <w:right w:val="single" w:sz="4" w:space="0" w:color="000000"/>
            </w:tcBorders>
          </w:tcPr>
          <w:p w:rsidR="009D6ADD" w:rsidRDefault="009D6ADD" w:rsidP="00797F7D">
            <w:pPr>
              <w:widowControl w:val="0"/>
              <w:spacing w:after="0"/>
              <w:rPr>
                <w:rFonts w:cs="Times New Roman"/>
              </w:rPr>
            </w:pPr>
          </w:p>
        </w:tc>
        <w:tc>
          <w:tcPr>
            <w:tcW w:w="142" w:type="dxa"/>
            <w:vMerge/>
            <w:tcBorders>
              <w:left w:val="single" w:sz="4" w:space="0" w:color="000000"/>
            </w:tcBorders>
            <w:tcMar>
              <w:top w:w="0" w:type="dxa"/>
              <w:left w:w="108" w:type="dxa"/>
              <w:bottom w:w="0" w:type="dxa"/>
              <w:right w:w="108" w:type="dxa"/>
            </w:tcMar>
            <w:vAlign w:val="center"/>
          </w:tcPr>
          <w:p w:rsidR="009D6ADD" w:rsidRDefault="009D6ADD" w:rsidP="00797F7D">
            <w:pPr>
              <w:widowControl w:val="0"/>
              <w:spacing w:after="0" w:line="240" w:lineRule="auto"/>
              <w:rPr>
                <w:rFonts w:ascii="Times New Roman" w:hAnsi="Times New Roman" w:cs="Times New Roman"/>
                <w:sz w:val="28"/>
                <w:szCs w:val="28"/>
                <w:lang w:eastAsia="ru-RU"/>
              </w:rPr>
            </w:pPr>
          </w:p>
        </w:tc>
      </w:tr>
      <w:tr w:rsidR="009D6ADD" w:rsidTr="00797F7D">
        <w:tc>
          <w:tcPr>
            <w:tcW w:w="4440" w:type="dxa"/>
            <w:tcBorders>
              <w:top w:val="single" w:sz="4" w:space="0" w:color="000000"/>
              <w:bottom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4394" w:type="dxa"/>
            <w:tcBorders>
              <w:top w:val="single" w:sz="4" w:space="0" w:color="000000"/>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142" w:type="dxa"/>
            <w:vMerge/>
            <w:tcBorders>
              <w:left w:val="single" w:sz="4" w:space="0" w:color="000000"/>
            </w:tcBorders>
            <w:tcMar>
              <w:top w:w="0" w:type="dxa"/>
              <w:left w:w="108" w:type="dxa"/>
              <w:bottom w:w="0" w:type="dxa"/>
              <w:right w:w="108" w:type="dxa"/>
            </w:tcMar>
            <w:vAlign w:val="center"/>
          </w:tcPr>
          <w:p w:rsidR="009D6ADD" w:rsidRDefault="009D6ADD" w:rsidP="00797F7D">
            <w:pPr>
              <w:widowControl w:val="0"/>
              <w:spacing w:after="0" w:line="240" w:lineRule="auto"/>
              <w:rPr>
                <w:rFonts w:ascii="Times New Roman" w:hAnsi="Times New Roman" w:cs="Times New Roman"/>
                <w:sz w:val="28"/>
                <w:szCs w:val="28"/>
                <w:lang w:eastAsia="ru-RU"/>
              </w:rPr>
            </w:pPr>
          </w:p>
        </w:tc>
      </w:tr>
      <w:tr w:rsidR="009D6ADD" w:rsidTr="00797F7D">
        <w:trPr>
          <w:trHeight w:val="120"/>
        </w:trPr>
        <w:tc>
          <w:tcPr>
            <w:tcW w:w="4440" w:type="dxa"/>
            <w:tcBorders>
              <w:bottom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4394" w:type="dxa"/>
            <w:tcBorders>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142" w:type="dxa"/>
            <w:tcBorders>
              <w:lef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r>
    </w:tbl>
    <w:p w:rsidR="009D6ADD" w:rsidRDefault="009D6ADD" w:rsidP="009D6ADD">
      <w:pPr>
        <w:pStyle w:val="a4"/>
        <w:ind w:firstLine="720"/>
        <w:jc w:val="both"/>
        <w:rPr>
          <w:rFonts w:ascii="Times New Roman" w:hAnsi="Times New Roman" w:cs="Times New Roman"/>
          <w:sz w:val="28"/>
          <w:szCs w:val="28"/>
          <w:lang w:eastAsia="ru-RU"/>
        </w:rPr>
      </w:pP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Информация  об</w:t>
      </w:r>
      <w:proofErr w:type="gramEnd"/>
      <w:r>
        <w:rPr>
          <w:rFonts w:ascii="Times New Roman" w:hAnsi="Times New Roman" w:cs="Times New Roman"/>
          <w:sz w:val="28"/>
          <w:szCs w:val="28"/>
          <w:lang w:eastAsia="ru-RU"/>
        </w:rPr>
        <w:t xml:space="preserve"> изменении   сведений   об объекте учета  муниципального имущества</w:t>
      </w:r>
    </w:p>
    <w:tbl>
      <w:tblPr>
        <w:tblW w:w="9117" w:type="dxa"/>
        <w:tblInd w:w="-83" w:type="dxa"/>
        <w:tblLayout w:type="fixed"/>
        <w:tblCellMar>
          <w:top w:w="15" w:type="dxa"/>
          <w:left w:w="15" w:type="dxa"/>
          <w:bottom w:w="15" w:type="dxa"/>
          <w:right w:w="15" w:type="dxa"/>
        </w:tblCellMar>
        <w:tblLook w:val="04A0" w:firstRow="1" w:lastRow="0" w:firstColumn="1" w:lastColumn="0" w:noHBand="0" w:noVBand="1"/>
      </w:tblPr>
      <w:tblGrid>
        <w:gridCol w:w="3447"/>
        <w:gridCol w:w="2809"/>
        <w:gridCol w:w="2861"/>
      </w:tblGrid>
      <w:tr w:rsidR="009D6ADD" w:rsidTr="00797F7D">
        <w:trPr>
          <w:trHeight w:hRule="exact" w:val="255"/>
        </w:trPr>
        <w:tc>
          <w:tcPr>
            <w:tcW w:w="3447" w:type="dxa"/>
            <w:tcBorders>
              <w:left w:val="single" w:sz="4" w:space="0" w:color="000000"/>
              <w:bottom w:val="single" w:sz="4" w:space="0" w:color="000000"/>
            </w:tcBorders>
          </w:tcPr>
          <w:p w:rsidR="009D6ADD" w:rsidRDefault="009D6ADD" w:rsidP="00797F7D">
            <w:pPr>
              <w:widowControl w:val="0"/>
              <w:rPr>
                <w:rFonts w:cs="Times New Roman"/>
              </w:rPr>
            </w:pPr>
          </w:p>
        </w:tc>
        <w:tc>
          <w:tcPr>
            <w:tcW w:w="2809" w:type="dxa"/>
            <w:tcBorders>
              <w:bottom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2861" w:type="dxa"/>
            <w:tcBorders>
              <w:bottom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r>
      <w:tr w:rsidR="009D6ADD" w:rsidTr="00797F7D">
        <w:trPr>
          <w:trHeight w:val="285"/>
        </w:trPr>
        <w:tc>
          <w:tcPr>
            <w:tcW w:w="3447" w:type="dxa"/>
            <w:tcBorders>
              <w:top w:val="single" w:sz="4" w:space="0" w:color="000000"/>
              <w:left w:val="single" w:sz="4" w:space="0" w:color="000000"/>
              <w:bottom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изменения</w:t>
            </w:r>
          </w:p>
        </w:tc>
        <w:tc>
          <w:tcPr>
            <w:tcW w:w="2809" w:type="dxa"/>
            <w:tcBorders>
              <w:top w:val="single" w:sz="4" w:space="0" w:color="000000"/>
              <w:left w:val="single" w:sz="4" w:space="0" w:color="000000"/>
              <w:bottom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Значение сведений</w:t>
            </w:r>
          </w:p>
        </w:tc>
        <w:tc>
          <w:tcPr>
            <w:tcW w:w="2861" w:type="dxa"/>
            <w:tcBorders>
              <w:top w:val="single" w:sz="4" w:space="0" w:color="000000"/>
              <w:left w:val="single" w:sz="4" w:space="0" w:color="000000"/>
              <w:bottom w:val="single" w:sz="4" w:space="0" w:color="000000"/>
              <w:righ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Дата изменения</w:t>
            </w:r>
          </w:p>
        </w:tc>
      </w:tr>
      <w:tr w:rsidR="009D6ADD" w:rsidTr="00797F7D">
        <w:trPr>
          <w:trHeight w:hRule="exact" w:val="105"/>
        </w:trPr>
        <w:tc>
          <w:tcPr>
            <w:tcW w:w="3447" w:type="dxa"/>
            <w:tcBorders>
              <w:top w:val="single" w:sz="4" w:space="0" w:color="000000"/>
              <w:lef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2809" w:type="dxa"/>
            <w:tcBorders>
              <w:top w:val="single" w:sz="4" w:space="0" w:color="000000"/>
              <w:lef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c>
          <w:tcPr>
            <w:tcW w:w="2861" w:type="dxa"/>
            <w:tcBorders>
              <w:top w:val="single" w:sz="4" w:space="0" w:color="000000"/>
              <w:left w:val="single" w:sz="4" w:space="0" w:color="000000"/>
              <w:right w:val="single" w:sz="4" w:space="0" w:color="000000"/>
            </w:tcBorders>
          </w:tcPr>
          <w:p w:rsidR="009D6ADD" w:rsidRDefault="009D6ADD" w:rsidP="00797F7D">
            <w:pPr>
              <w:pStyle w:val="a4"/>
              <w:widowControl w:val="0"/>
              <w:spacing w:line="276" w:lineRule="auto"/>
              <w:jc w:val="both"/>
              <w:rPr>
                <w:rFonts w:ascii="Times New Roman" w:hAnsi="Times New Roman" w:cs="Times New Roman"/>
                <w:sz w:val="28"/>
                <w:szCs w:val="28"/>
                <w:lang w:eastAsia="ru-RU"/>
              </w:rPr>
            </w:pPr>
          </w:p>
        </w:tc>
      </w:tr>
      <w:tr w:rsidR="009D6ADD" w:rsidTr="00797F7D">
        <w:tc>
          <w:tcPr>
            <w:tcW w:w="3447" w:type="dxa"/>
            <w:tcBorders>
              <w:left w:val="single" w:sz="4" w:space="0" w:color="000000"/>
              <w:bottom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809" w:type="dxa"/>
            <w:tcBorders>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861" w:type="dxa"/>
            <w:tcBorders>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9D6ADD" w:rsidTr="00797F7D">
        <w:tc>
          <w:tcPr>
            <w:tcW w:w="3447" w:type="dxa"/>
            <w:tcBorders>
              <w:left w:val="single" w:sz="4" w:space="0" w:color="000000"/>
              <w:bottom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2809" w:type="dxa"/>
            <w:tcBorders>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2861" w:type="dxa"/>
            <w:tcBorders>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r>
      <w:tr w:rsidR="009D6ADD" w:rsidTr="00797F7D">
        <w:trPr>
          <w:trHeight w:hRule="exact" w:val="165"/>
        </w:trPr>
        <w:tc>
          <w:tcPr>
            <w:tcW w:w="3447" w:type="dxa"/>
            <w:tcBorders>
              <w:left w:val="single" w:sz="4" w:space="0" w:color="000000"/>
              <w:bottom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2809" w:type="dxa"/>
            <w:tcBorders>
              <w:left w:val="single" w:sz="4" w:space="0" w:color="000000"/>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c>
          <w:tcPr>
            <w:tcW w:w="2861" w:type="dxa"/>
            <w:tcBorders>
              <w:bottom w:val="single" w:sz="4" w:space="0" w:color="000000"/>
              <w:right w:val="single" w:sz="4" w:space="0" w:color="000000"/>
            </w:tcBorders>
          </w:tcPr>
          <w:p w:rsidR="009D6ADD" w:rsidRDefault="009D6ADD" w:rsidP="00797F7D">
            <w:pPr>
              <w:pStyle w:val="a4"/>
              <w:widowControl w:val="0"/>
              <w:spacing w:line="276" w:lineRule="auto"/>
              <w:ind w:firstLine="720"/>
              <w:jc w:val="both"/>
              <w:rPr>
                <w:rFonts w:ascii="Times New Roman" w:hAnsi="Times New Roman" w:cs="Times New Roman"/>
                <w:sz w:val="28"/>
                <w:szCs w:val="28"/>
                <w:lang w:eastAsia="ru-RU"/>
              </w:rPr>
            </w:pPr>
          </w:p>
        </w:tc>
      </w:tr>
      <w:tr w:rsidR="009D6ADD" w:rsidTr="00797F7D">
        <w:trPr>
          <w:trHeight w:hRule="exact" w:val="150"/>
        </w:trPr>
        <w:tc>
          <w:tcPr>
            <w:tcW w:w="3447" w:type="dxa"/>
            <w:tcBorders>
              <w:top w:val="single" w:sz="4" w:space="0" w:color="000000"/>
            </w:tcBorders>
          </w:tcPr>
          <w:p w:rsidR="009D6ADD" w:rsidRDefault="009D6ADD" w:rsidP="00797F7D">
            <w:pPr>
              <w:widowControl w:val="0"/>
              <w:spacing w:after="0"/>
              <w:rPr>
                <w:rFonts w:cs="Times New Roman"/>
              </w:rPr>
            </w:pPr>
          </w:p>
        </w:tc>
        <w:tc>
          <w:tcPr>
            <w:tcW w:w="2809" w:type="dxa"/>
            <w:tcBorders>
              <w:top w:val="single" w:sz="4" w:space="0" w:color="000000"/>
            </w:tcBorders>
          </w:tcPr>
          <w:p w:rsidR="009D6ADD" w:rsidRDefault="009D6ADD" w:rsidP="00797F7D">
            <w:pPr>
              <w:widowControl w:val="0"/>
              <w:spacing w:after="0"/>
              <w:rPr>
                <w:rFonts w:cs="Times New Roman"/>
              </w:rPr>
            </w:pPr>
          </w:p>
        </w:tc>
        <w:tc>
          <w:tcPr>
            <w:tcW w:w="2861" w:type="dxa"/>
            <w:tcBorders>
              <w:top w:val="single" w:sz="4" w:space="0" w:color="000000"/>
            </w:tcBorders>
          </w:tcPr>
          <w:p w:rsidR="009D6ADD" w:rsidRDefault="009D6ADD" w:rsidP="00797F7D">
            <w:pPr>
              <w:widowControl w:val="0"/>
              <w:spacing w:after="0"/>
              <w:rPr>
                <w:rFonts w:cs="Times New Roman"/>
              </w:rPr>
            </w:pPr>
          </w:p>
        </w:tc>
      </w:tr>
    </w:tbl>
    <w:p w:rsidR="009D6ADD" w:rsidRDefault="009D6ADD" w:rsidP="009D6ADD">
      <w:pPr>
        <w:pStyle w:val="a4"/>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ОТМЕТКА О ПОДТВЕРЖДЕНИИ СВЕДЕНИЙ,</w:t>
      </w:r>
    </w:p>
    <w:p w:rsidR="009D6ADD" w:rsidRDefault="009D6ADD" w:rsidP="009D6ADD">
      <w:pPr>
        <w:pStyle w:val="a4"/>
        <w:ind w:firstLine="720"/>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СОДЕРЖАЩИХСЯ В НАСТОЯЩЕЙ ВЫПИСКЕ</w:t>
      </w:r>
    </w:p>
    <w:p w:rsidR="009D6ADD" w:rsidRDefault="009D6ADD" w:rsidP="009D6ADD">
      <w:pPr>
        <w:pStyle w:val="a4"/>
        <w:ind w:firstLine="720"/>
        <w:jc w:val="center"/>
        <w:rPr>
          <w:rFonts w:ascii="Times New Roman" w:hAnsi="Times New Roman" w:cs="Times New Roman"/>
          <w:sz w:val="28"/>
          <w:szCs w:val="28"/>
          <w:lang w:eastAsia="ru-RU"/>
        </w:rPr>
      </w:pP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Ответственный</w:t>
      </w:r>
    </w:p>
    <w:p w:rsidR="009D6ADD" w:rsidRDefault="009D6ADD" w:rsidP="009D6ADD">
      <w:pPr>
        <w:pStyle w:val="a4"/>
        <w:ind w:firstLine="720"/>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исполнитель:   </w:t>
      </w:r>
      <w:proofErr w:type="gramEnd"/>
      <w:r>
        <w:rPr>
          <w:rFonts w:ascii="Times New Roman" w:hAnsi="Times New Roman" w:cs="Times New Roman"/>
          <w:sz w:val="28"/>
          <w:szCs w:val="28"/>
          <w:lang w:eastAsia="ru-RU"/>
        </w:rPr>
        <w:t>_____________  _____________ ____________________</w:t>
      </w: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roofErr w:type="gramStart"/>
      <w:r>
        <w:rPr>
          <w:rFonts w:ascii="Times New Roman" w:hAnsi="Times New Roman" w:cs="Times New Roman"/>
          <w:sz w:val="28"/>
          <w:szCs w:val="28"/>
          <w:lang w:eastAsia="ru-RU"/>
        </w:rPr>
        <w:t>должность)   </w:t>
      </w:r>
      <w:proofErr w:type="gramEnd"/>
      <w:r>
        <w:rPr>
          <w:rFonts w:ascii="Times New Roman" w:hAnsi="Times New Roman" w:cs="Times New Roman"/>
          <w:sz w:val="28"/>
          <w:szCs w:val="28"/>
          <w:lang w:eastAsia="ru-RU"/>
        </w:rPr>
        <w:t>  (подпись)      (расшифровка подписи)</w:t>
      </w:r>
    </w:p>
    <w:p w:rsidR="009D6ADD" w:rsidRDefault="009D6ADD" w:rsidP="009D6ADD">
      <w:pPr>
        <w:pStyle w:val="a4"/>
        <w:ind w:firstLine="720"/>
        <w:jc w:val="both"/>
        <w:rPr>
          <w:rFonts w:ascii="Times New Roman" w:hAnsi="Times New Roman" w:cs="Times New Roman"/>
          <w:sz w:val="28"/>
          <w:szCs w:val="28"/>
          <w:lang w:eastAsia="ru-RU"/>
        </w:rPr>
      </w:pPr>
    </w:p>
    <w:p w:rsidR="009D6ADD" w:rsidRDefault="009D6ADD" w:rsidP="009D6ADD">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"____"______________20__ г.</w:t>
      </w:r>
    </w:p>
    <w:p w:rsidR="009D6ADD" w:rsidRDefault="009D6ADD" w:rsidP="009D6ADD">
      <w:pPr>
        <w:pStyle w:val="a4"/>
        <w:ind w:firstLine="720"/>
        <w:jc w:val="both"/>
        <w:rPr>
          <w:rFonts w:ascii="Times New Roman" w:hAnsi="Times New Roman" w:cs="Times New Roman"/>
          <w:sz w:val="28"/>
          <w:szCs w:val="28"/>
        </w:rPr>
      </w:pPr>
    </w:p>
    <w:p w:rsidR="009D6ADD" w:rsidRDefault="009D6ADD" w:rsidP="009D6ADD"/>
    <w:p w:rsidR="00576277" w:rsidRDefault="00576277"/>
    <w:sectPr w:rsidR="00576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E"/>
    <w:rsid w:val="0038392C"/>
    <w:rsid w:val="00576277"/>
    <w:rsid w:val="009D6ADD"/>
    <w:rsid w:val="00C42899"/>
    <w:rsid w:val="00C9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406D-82B9-4847-91C1-15F91244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ADD"/>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D6ADD"/>
    <w:rPr>
      <w:color w:val="0000FF"/>
      <w:u w:val="single"/>
    </w:rPr>
  </w:style>
  <w:style w:type="paragraph" w:styleId="a4">
    <w:name w:val="No Spacing"/>
    <w:uiPriority w:val="1"/>
    <w:qFormat/>
    <w:rsid w:val="009D6ADD"/>
    <w:pPr>
      <w:suppressAutoHyphens/>
      <w:spacing w:after="0" w:line="240" w:lineRule="auto"/>
    </w:pPr>
  </w:style>
  <w:style w:type="paragraph" w:customStyle="1" w:styleId="ConsPlusNormal">
    <w:name w:val="ConsPlusNormal"/>
    <w:qFormat/>
    <w:rsid w:val="009D6ADD"/>
    <w:pPr>
      <w:widowControl w:val="0"/>
      <w:suppressAutoHyphens/>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semiHidden/>
    <w:unhideWhenUsed/>
    <w:rsid w:val="009D6AD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8023687/?ysclid=lu2fpuegk511541227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ant.ru/products/ipo/prime/doc/408023687/?ysclid=lu2fpuegk5115412271" TargetMode="External"/><Relationship Id="rId12" Type="http://schemas.openxmlformats.org/officeDocument/2006/relationships/hyperlink" Target="https://www.garant.ru/products/ipo/prime/doc/408023687/?ysclid=lu2fpuegk51154122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408023687/?ysclid=lu2fpuegk5115412271" TargetMode="External"/><Relationship Id="rId11" Type="http://schemas.openxmlformats.org/officeDocument/2006/relationships/hyperlink" Target="https://www.garant.ru/products/ipo/prime/doc/408023687/?ysclid=lu2fpuegk5115412271" TargetMode="External"/><Relationship Id="rId5" Type="http://schemas.openxmlformats.org/officeDocument/2006/relationships/hyperlink" Target="https://www.garant.ru/products/ipo/prime/doc/408023687/?ysclid=lu2fpuegk5115412271" TargetMode="External"/><Relationship Id="rId10" Type="http://schemas.openxmlformats.org/officeDocument/2006/relationships/hyperlink" Target="https://www.garant.ru/products/ipo/prime/doc/408023687/?ysclid=lu2fpuegk5115412271" TargetMode="External"/><Relationship Id="rId4" Type="http://schemas.openxmlformats.org/officeDocument/2006/relationships/hyperlink" Target="https://www.garant.ru/products/ipo/prime/doc/408023687/?ysclid=lu2fpuegk5115412271" TargetMode="External"/><Relationship Id="rId9" Type="http://schemas.openxmlformats.org/officeDocument/2006/relationships/hyperlink" Target="https://www.garant.ru/products/ipo/prime/doc/408023687/?ysclid=lu2fpuegk51154122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4807</Words>
  <Characters>27405</Characters>
  <Application>Microsoft Office Word</Application>
  <DocSecurity>0</DocSecurity>
  <Lines>228</Lines>
  <Paragraphs>64</Paragraphs>
  <ScaleCrop>false</ScaleCrop>
  <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2024-05-02T11:27:00Z</dcterms:created>
  <dcterms:modified xsi:type="dcterms:W3CDTF">2024-05-02T11:38:00Z</dcterms:modified>
</cp:coreProperties>
</file>