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F0" w:rsidRDefault="00F548F0" w:rsidP="00F548F0">
      <w:pPr>
        <w:pStyle w:val="ConsPlusTitle"/>
        <w:widowControl/>
        <w:outlineLvl w:val="0"/>
        <w:rPr>
          <w:rFonts w:eastAsia="Times New Roman"/>
          <w:b w:val="0"/>
          <w:bCs w:val="0"/>
        </w:rPr>
      </w:pPr>
    </w:p>
    <w:p w:rsidR="00F548F0" w:rsidRDefault="00F548F0" w:rsidP="00F548F0">
      <w:pPr>
        <w:pStyle w:val="ConsPlusTitle"/>
        <w:widowControl/>
        <w:outlineLvl w:val="0"/>
        <w:rPr>
          <w:rFonts w:eastAsia="Times New Roman"/>
          <w:b w:val="0"/>
          <w:bCs w:val="0"/>
        </w:rPr>
      </w:pPr>
    </w:p>
    <w:p w:rsidR="00F548F0" w:rsidRDefault="00F548F0" w:rsidP="00F548F0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F548F0" w:rsidRDefault="00F548F0" w:rsidP="00F548F0">
      <w:pPr>
        <w:pStyle w:val="ConsPlusTitle"/>
        <w:widowControl/>
        <w:jc w:val="right"/>
        <w:outlineLvl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Приложение </w:t>
      </w:r>
    </w:p>
    <w:p w:rsidR="00F548F0" w:rsidRDefault="00F548F0" w:rsidP="00F548F0">
      <w:pPr>
        <w:pStyle w:val="ConsPlusTitle"/>
        <w:widowControl/>
        <w:ind w:left="6379"/>
        <w:jc w:val="right"/>
        <w:outlineLvl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к распоряжению</w:t>
      </w:r>
    </w:p>
    <w:p w:rsidR="00F548F0" w:rsidRDefault="00F548F0" w:rsidP="00F548F0">
      <w:pPr>
        <w:pStyle w:val="ConsPlusTitle"/>
        <w:widowControl/>
        <w:ind w:left="6379"/>
        <w:jc w:val="right"/>
        <w:outlineLvl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от 06.02.2020  №  4-р</w:t>
      </w:r>
    </w:p>
    <w:p w:rsidR="00F548F0" w:rsidRDefault="00F548F0" w:rsidP="00F548F0">
      <w:pPr>
        <w:pStyle w:val="ConsPlusTitle"/>
        <w:widowControl/>
        <w:outlineLvl w:val="0"/>
        <w:rPr>
          <w:b w:val="0"/>
          <w:bCs w:val="0"/>
          <w:sz w:val="20"/>
          <w:szCs w:val="20"/>
        </w:rPr>
      </w:pPr>
    </w:p>
    <w:p w:rsidR="00F548F0" w:rsidRDefault="00F548F0" w:rsidP="00F548F0">
      <w:pPr>
        <w:pStyle w:val="ConsPlusTitle"/>
        <w:widowControl/>
        <w:jc w:val="center"/>
        <w:outlineLvl w:val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Указания о порядке применения целевых статей</w:t>
      </w:r>
    </w:p>
    <w:p w:rsidR="00F548F0" w:rsidRDefault="00F548F0" w:rsidP="00F548F0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расходов </w:t>
      </w:r>
      <w:r>
        <w:rPr>
          <w:b w:val="0"/>
          <w:sz w:val="20"/>
          <w:szCs w:val="20"/>
        </w:rPr>
        <w:t xml:space="preserve">местного бюджета муниципального образования Волжский сельсовет </w:t>
      </w:r>
      <w:proofErr w:type="spellStart"/>
      <w:r>
        <w:rPr>
          <w:b w:val="0"/>
          <w:sz w:val="20"/>
          <w:szCs w:val="20"/>
        </w:rPr>
        <w:t>Курманаевского</w:t>
      </w:r>
      <w:proofErr w:type="spellEnd"/>
      <w:r>
        <w:rPr>
          <w:b w:val="0"/>
          <w:sz w:val="20"/>
          <w:szCs w:val="20"/>
        </w:rPr>
        <w:t xml:space="preserve"> района</w:t>
      </w:r>
    </w:p>
    <w:p w:rsidR="00F548F0" w:rsidRDefault="00F548F0" w:rsidP="00F548F0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F548F0" w:rsidRDefault="00F548F0" w:rsidP="00F548F0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 Общие положения</w:t>
      </w:r>
    </w:p>
    <w:p w:rsidR="00F548F0" w:rsidRDefault="00F548F0" w:rsidP="00F548F0">
      <w:pPr>
        <w:jc w:val="both"/>
        <w:rPr>
          <w:sz w:val="20"/>
          <w:szCs w:val="20"/>
        </w:rPr>
      </w:pPr>
    </w:p>
    <w:p w:rsidR="00F548F0" w:rsidRDefault="00F548F0" w:rsidP="00F548F0">
      <w:pPr>
        <w:ind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1.1. Целевые статьи расходов местного бюджета обеспечивают привязку бюджетных ассигнований местного бюджета к муниципальным программам, их подпрограммам, основным мероприятиям и (или) </w:t>
      </w:r>
      <w:proofErr w:type="spellStart"/>
      <w:r>
        <w:rPr>
          <w:sz w:val="20"/>
          <w:szCs w:val="20"/>
          <w:lang w:eastAsia="en-US"/>
        </w:rPr>
        <w:t>непрограммным</w:t>
      </w:r>
      <w:proofErr w:type="spellEnd"/>
      <w:r>
        <w:rPr>
          <w:sz w:val="20"/>
          <w:szCs w:val="20"/>
          <w:lang w:eastAsia="en-US"/>
        </w:rPr>
        <w:t xml:space="preserve"> направлениям деятельности (функциям) </w:t>
      </w:r>
      <w:r>
        <w:rPr>
          <w:sz w:val="20"/>
          <w:szCs w:val="20"/>
        </w:rPr>
        <w:t>муниципального образования Волжский сельсовет</w:t>
      </w:r>
      <w:r>
        <w:rPr>
          <w:sz w:val="20"/>
          <w:szCs w:val="20"/>
          <w:lang w:eastAsia="en-US"/>
        </w:rPr>
        <w:t>, и (или) к расходным обязательствам, подлежащим исполнению за счет средств местного бюджета.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органа муниципальной власти присваиваются уникальные коды целевых статей расходов местного бюджета.</w:t>
      </w:r>
    </w:p>
    <w:p w:rsidR="00F548F0" w:rsidRDefault="00F548F0" w:rsidP="00F548F0">
      <w:pPr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1.2. Структура кода целевой статьи расходов местного бюджета состоит из десяти разрядов и включает следующие составные части (таблица 1):</w:t>
      </w:r>
    </w:p>
    <w:p w:rsidR="00F548F0" w:rsidRDefault="00F548F0" w:rsidP="00F548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код программного (</w:t>
      </w:r>
      <w:proofErr w:type="spellStart"/>
      <w:r>
        <w:rPr>
          <w:snapToGrid w:val="0"/>
          <w:sz w:val="20"/>
          <w:szCs w:val="20"/>
        </w:rPr>
        <w:t>непрограммного</w:t>
      </w:r>
      <w:proofErr w:type="spellEnd"/>
      <w:r>
        <w:rPr>
          <w:snapToGrid w:val="0"/>
          <w:sz w:val="20"/>
          <w:szCs w:val="20"/>
        </w:rPr>
        <w:t xml:space="preserve">) направления расходов        (8 – 9 разряды кода классификации расходов бюджетов) – предназначен для кодирования муниципальных программ Волжского сельсовета </w:t>
      </w:r>
      <w:proofErr w:type="spellStart"/>
      <w:r>
        <w:rPr>
          <w:snapToGrid w:val="0"/>
          <w:sz w:val="20"/>
          <w:szCs w:val="20"/>
        </w:rPr>
        <w:t>Курманаевского</w:t>
      </w:r>
      <w:proofErr w:type="spellEnd"/>
      <w:r>
        <w:rPr>
          <w:snapToGrid w:val="0"/>
          <w:sz w:val="20"/>
          <w:szCs w:val="20"/>
        </w:rPr>
        <w:t xml:space="preserve"> района, </w:t>
      </w:r>
      <w:proofErr w:type="spellStart"/>
      <w:r>
        <w:rPr>
          <w:snapToGrid w:val="0"/>
          <w:sz w:val="20"/>
          <w:szCs w:val="20"/>
        </w:rPr>
        <w:t>непрограммных</w:t>
      </w:r>
      <w:proofErr w:type="spellEnd"/>
      <w:r>
        <w:rPr>
          <w:snapToGrid w:val="0"/>
          <w:sz w:val="20"/>
          <w:szCs w:val="20"/>
        </w:rPr>
        <w:t xml:space="preserve"> мероприятий Волжского сельсовета </w:t>
      </w:r>
      <w:proofErr w:type="spellStart"/>
      <w:r>
        <w:rPr>
          <w:snapToGrid w:val="0"/>
          <w:sz w:val="20"/>
          <w:szCs w:val="20"/>
        </w:rPr>
        <w:t>Курманаевского</w:t>
      </w:r>
      <w:proofErr w:type="spellEnd"/>
      <w:r>
        <w:rPr>
          <w:snapToGrid w:val="0"/>
          <w:sz w:val="20"/>
          <w:szCs w:val="20"/>
        </w:rPr>
        <w:t xml:space="preserve"> района;</w:t>
      </w:r>
    </w:p>
    <w:p w:rsidR="00F548F0" w:rsidRDefault="00F548F0" w:rsidP="00F548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>
        <w:rPr>
          <w:sz w:val="20"/>
          <w:szCs w:val="20"/>
        </w:rPr>
        <w:t xml:space="preserve">муниципальных программ </w:t>
      </w:r>
      <w:r>
        <w:rPr>
          <w:snapToGrid w:val="0"/>
          <w:sz w:val="20"/>
          <w:szCs w:val="20"/>
        </w:rPr>
        <w:t>Волжского сельсовета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Курманаевского</w:t>
      </w:r>
      <w:proofErr w:type="spellEnd"/>
      <w:r>
        <w:rPr>
          <w:sz w:val="20"/>
          <w:szCs w:val="20"/>
        </w:rPr>
        <w:t xml:space="preserve"> района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 органов муниципальной власти</w:t>
      </w:r>
      <w:r>
        <w:rPr>
          <w:snapToGrid w:val="0"/>
          <w:sz w:val="20"/>
          <w:szCs w:val="20"/>
        </w:rPr>
        <w:t xml:space="preserve"> Волжского сельсовета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Курманаевского</w:t>
      </w:r>
      <w:proofErr w:type="spellEnd"/>
      <w:r>
        <w:rPr>
          <w:sz w:val="20"/>
          <w:szCs w:val="20"/>
        </w:rPr>
        <w:t xml:space="preserve"> района;</w:t>
      </w:r>
    </w:p>
    <w:p w:rsidR="00F548F0" w:rsidRDefault="00F548F0" w:rsidP="00F548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код основного мероприятия (11-12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МО </w:t>
      </w:r>
      <w:proofErr w:type="spellStart"/>
      <w:r>
        <w:rPr>
          <w:sz w:val="20"/>
          <w:szCs w:val="20"/>
        </w:rPr>
        <w:t>Волж</w:t>
      </w:r>
      <w:proofErr w:type="spellEnd"/>
      <w:r>
        <w:rPr>
          <w:snapToGrid w:val="0"/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Курманаевского</w:t>
      </w:r>
      <w:proofErr w:type="spellEnd"/>
      <w:r>
        <w:rPr>
          <w:sz w:val="20"/>
          <w:szCs w:val="20"/>
        </w:rPr>
        <w:t xml:space="preserve"> района;</w:t>
      </w:r>
    </w:p>
    <w:p w:rsidR="00F548F0" w:rsidRDefault="00F548F0" w:rsidP="00F548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код направления расходов (13 </w:t>
      </w:r>
      <w:r>
        <w:rPr>
          <w:sz w:val="20"/>
          <w:szCs w:val="20"/>
        </w:rPr>
        <w:t>–</w:t>
      </w:r>
      <w:r>
        <w:rPr>
          <w:snapToGrid w:val="0"/>
          <w:sz w:val="20"/>
          <w:szCs w:val="20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548F0" w:rsidRDefault="00F548F0" w:rsidP="00F548F0">
      <w:pPr>
        <w:jc w:val="both"/>
        <w:rPr>
          <w:snapToGrid w:val="0"/>
          <w:sz w:val="20"/>
          <w:szCs w:val="20"/>
        </w:rPr>
      </w:pPr>
    </w:p>
    <w:p w:rsidR="00F548F0" w:rsidRDefault="00F548F0" w:rsidP="00F548F0">
      <w:pPr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Таблица 1</w:t>
      </w:r>
    </w:p>
    <w:tbl>
      <w:tblPr>
        <w:tblpPr w:leftFromText="180" w:rightFromText="180" w:vertAnchor="text" w:horzAnchor="margin" w:tblpXSpec="right" w:tblpY="26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8"/>
        <w:gridCol w:w="994"/>
        <w:gridCol w:w="1277"/>
        <w:gridCol w:w="1135"/>
        <w:gridCol w:w="850"/>
        <w:gridCol w:w="851"/>
        <w:gridCol w:w="993"/>
        <w:gridCol w:w="851"/>
        <w:gridCol w:w="850"/>
        <w:gridCol w:w="851"/>
      </w:tblGrid>
      <w:tr w:rsidR="00F548F0" w:rsidTr="00F548F0">
        <w:trPr>
          <w:trHeight w:val="240"/>
        </w:trPr>
        <w:tc>
          <w:tcPr>
            <w:tcW w:w="10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F548F0" w:rsidTr="00F548F0">
        <w:trPr>
          <w:trHeight w:val="240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</w:t>
            </w:r>
          </w:p>
          <w:p w:rsidR="00F548F0" w:rsidRDefault="00F548F0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непрограммное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548F0" w:rsidRDefault="00F548F0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F548F0" w:rsidRDefault="00F548F0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Под-программа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F548F0" w:rsidTr="00F548F0">
        <w:trPr>
          <w:trHeight w:val="24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F0" w:rsidRDefault="00F548F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F548F0" w:rsidRDefault="00F548F0" w:rsidP="00F548F0">
      <w:pPr>
        <w:ind w:firstLine="709"/>
        <w:jc w:val="both"/>
        <w:rPr>
          <w:rFonts w:eastAsia="Times New Roman"/>
          <w:snapToGrid w:val="0"/>
          <w:sz w:val="20"/>
          <w:szCs w:val="20"/>
        </w:rPr>
      </w:pPr>
    </w:p>
    <w:p w:rsidR="00F548F0" w:rsidRDefault="00F548F0" w:rsidP="00F548F0">
      <w:pPr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outlineLvl w:val="4"/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1.3. </w:t>
      </w:r>
      <w:r>
        <w:rPr>
          <w:sz w:val="20"/>
          <w:szCs w:val="20"/>
        </w:rPr>
        <w:t xml:space="preserve">Целевым статьям расходов бюджета муниципального образования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, Р, С, Т, У, Ф, Ц, Ч, Ш, Щ, Э, Ю, Я, 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J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W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Z</w:t>
      </w:r>
      <w:r>
        <w:rPr>
          <w:sz w:val="20"/>
          <w:szCs w:val="20"/>
        </w:rPr>
        <w:t>.</w:t>
      </w:r>
    </w:p>
    <w:p w:rsidR="00F548F0" w:rsidRDefault="00F548F0" w:rsidP="00F548F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Наименования целевых статей местного бюджета устанавливаются администрацией МО Волжский сельсовет </w:t>
      </w:r>
      <w:proofErr w:type="spellStart"/>
      <w:r>
        <w:rPr>
          <w:snapToGrid w:val="0"/>
          <w:sz w:val="20"/>
          <w:szCs w:val="20"/>
        </w:rPr>
        <w:t>Курманаевского</w:t>
      </w:r>
      <w:proofErr w:type="spellEnd"/>
      <w:r>
        <w:rPr>
          <w:snapToGrid w:val="0"/>
          <w:sz w:val="20"/>
          <w:szCs w:val="20"/>
        </w:rPr>
        <w:t xml:space="preserve"> района и характеризуют направление бюджетных ассигнований на реализацию: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муниципальных программ или </w:t>
      </w:r>
      <w:proofErr w:type="spellStart"/>
      <w:r>
        <w:rPr>
          <w:snapToGrid w:val="0"/>
          <w:sz w:val="20"/>
          <w:szCs w:val="20"/>
        </w:rPr>
        <w:t>непрограммных</w:t>
      </w:r>
      <w:proofErr w:type="spellEnd"/>
      <w:r>
        <w:rPr>
          <w:snapToGrid w:val="0"/>
          <w:sz w:val="20"/>
          <w:szCs w:val="20"/>
        </w:rPr>
        <w:t xml:space="preserve"> направлений деятельности органов муниципальной власти (</w:t>
      </w:r>
      <w:proofErr w:type="spellStart"/>
      <w:r>
        <w:rPr>
          <w:snapToGrid w:val="0"/>
          <w:sz w:val="20"/>
          <w:szCs w:val="20"/>
        </w:rPr>
        <w:t>непрограммных</w:t>
      </w:r>
      <w:proofErr w:type="spellEnd"/>
      <w:r>
        <w:rPr>
          <w:snapToGrid w:val="0"/>
          <w:sz w:val="20"/>
          <w:szCs w:val="20"/>
        </w:rPr>
        <w:t xml:space="preserve"> мероприятий);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подпрограмм муниципальных программ,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 органов муниципальной власти </w:t>
      </w:r>
      <w:r>
        <w:rPr>
          <w:snapToGrid w:val="0"/>
          <w:sz w:val="20"/>
          <w:szCs w:val="20"/>
        </w:rPr>
        <w:t xml:space="preserve">МО Волжский сельсовет </w:t>
      </w:r>
      <w:proofErr w:type="spellStart"/>
      <w:r>
        <w:rPr>
          <w:sz w:val="20"/>
          <w:szCs w:val="20"/>
        </w:rPr>
        <w:t>Курманаевского</w:t>
      </w:r>
      <w:proofErr w:type="spellEnd"/>
      <w:r>
        <w:rPr>
          <w:sz w:val="20"/>
          <w:szCs w:val="20"/>
        </w:rPr>
        <w:t xml:space="preserve"> района</w:t>
      </w:r>
      <w:r>
        <w:rPr>
          <w:snapToGrid w:val="0"/>
          <w:sz w:val="20"/>
          <w:szCs w:val="20"/>
        </w:rPr>
        <w:t>;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основных мероприятий муниципальных программ и подпрограмм муниципальных программ МО Волжский сельсовет </w:t>
      </w:r>
      <w:proofErr w:type="spellStart"/>
      <w:r>
        <w:rPr>
          <w:snapToGrid w:val="0"/>
          <w:sz w:val="20"/>
          <w:szCs w:val="20"/>
        </w:rPr>
        <w:t>Курманаевского</w:t>
      </w:r>
      <w:proofErr w:type="spellEnd"/>
      <w:r>
        <w:rPr>
          <w:snapToGrid w:val="0"/>
          <w:sz w:val="20"/>
          <w:szCs w:val="20"/>
        </w:rPr>
        <w:t xml:space="preserve"> района;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направлений расходов.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1.4. Увязка универсальных направлений расходов с основным мероприятием муниципальной программы и подпрограммы  устанавливается  по следующей структуре кода целевой статьи:</w:t>
      </w:r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890" w:type="dxa"/>
        <w:tblLook w:val="00A0"/>
      </w:tblPr>
      <w:tblGrid>
        <w:gridCol w:w="2802"/>
        <w:gridCol w:w="7088"/>
      </w:tblGrid>
      <w:tr w:rsidR="00F548F0" w:rsidTr="00F548F0">
        <w:tc>
          <w:tcPr>
            <w:tcW w:w="2802" w:type="dxa"/>
            <w:hideMark/>
          </w:tcPr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ХХ</w:t>
            </w:r>
            <w:r>
              <w:rPr>
                <w:sz w:val="20"/>
                <w:szCs w:val="20"/>
              </w:rPr>
              <w:t xml:space="preserve">  0 00 00000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088" w:type="dxa"/>
            <w:hideMark/>
          </w:tcPr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</w:p>
        </w:tc>
      </w:tr>
      <w:tr w:rsidR="00F548F0" w:rsidTr="00F548F0">
        <w:tc>
          <w:tcPr>
            <w:tcW w:w="2802" w:type="dxa"/>
            <w:hideMark/>
          </w:tcPr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ХХ </w:t>
            </w:r>
            <w:r>
              <w:rPr>
                <w:b/>
                <w:bCs/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 00 00000</w:t>
            </w:r>
          </w:p>
          <w:p w:rsidR="00F548F0" w:rsidRDefault="00F548F0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XX X </w:t>
            </w:r>
            <w:r>
              <w:rPr>
                <w:b/>
                <w:bCs/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88" w:type="dxa"/>
            <w:hideMark/>
          </w:tcPr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муниципальной программы;   </w:t>
            </w:r>
          </w:p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подпрограммы муниципальной программы;                      </w:t>
            </w:r>
          </w:p>
        </w:tc>
      </w:tr>
      <w:tr w:rsidR="00F548F0" w:rsidTr="00F548F0">
        <w:tc>
          <w:tcPr>
            <w:tcW w:w="2802" w:type="dxa"/>
            <w:hideMark/>
          </w:tcPr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ХХ Х </w:t>
            </w:r>
            <w:r>
              <w:rPr>
                <w:sz w:val="20"/>
                <w:szCs w:val="20"/>
                <w:lang w:val="en-US"/>
              </w:rPr>
              <w:t xml:space="preserve">XX  </w:t>
            </w:r>
            <w:r>
              <w:rPr>
                <w:b/>
                <w:bCs/>
                <w:sz w:val="20"/>
                <w:szCs w:val="20"/>
              </w:rPr>
              <w:t>ХХХХ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088" w:type="dxa"/>
          </w:tcPr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программы.</w:t>
            </w:r>
          </w:p>
          <w:p w:rsidR="00F548F0" w:rsidRDefault="00F54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548F0" w:rsidRDefault="00F548F0" w:rsidP="00F548F0">
      <w:pPr>
        <w:widowControl w:val="0"/>
        <w:tabs>
          <w:tab w:val="left" w:pos="1656"/>
        </w:tabs>
        <w:spacing w:after="300" w:line="322" w:lineRule="exact"/>
        <w:ind w:right="42"/>
        <w:jc w:val="both"/>
        <w:rPr>
          <w:rFonts w:eastAsia="Times New Roman"/>
          <w:color w:val="000000"/>
          <w:sz w:val="20"/>
          <w:szCs w:val="20"/>
          <w:lang w:bidi="ru-RU"/>
        </w:rPr>
      </w:pPr>
      <w:r>
        <w:rPr>
          <w:sz w:val="20"/>
          <w:szCs w:val="20"/>
        </w:rPr>
        <w:t xml:space="preserve">           1.5. </w:t>
      </w:r>
      <w:r>
        <w:rPr>
          <w:color w:val="000000"/>
          <w:sz w:val="20"/>
          <w:szCs w:val="20"/>
          <w:lang w:bidi="ru-RU"/>
        </w:rPr>
        <w:t>Коды целевых статей расходов бюджета и их наименования представлены в приложении № 1 к настоящим Указаниям.</w:t>
      </w:r>
    </w:p>
    <w:p w:rsidR="00F548F0" w:rsidRDefault="00F548F0" w:rsidP="00F548F0">
      <w:pPr>
        <w:autoSpaceDE w:val="0"/>
        <w:autoSpaceDN w:val="0"/>
        <w:adjustRightInd w:val="0"/>
        <w:ind w:right="42"/>
        <w:jc w:val="center"/>
        <w:outlineLvl w:val="4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proofErr w:type="gramStart"/>
      <w:r>
        <w:rPr>
          <w:sz w:val="20"/>
          <w:szCs w:val="20"/>
        </w:rPr>
        <w:t>.  Порядок</w:t>
      </w:r>
      <w:proofErr w:type="gramEnd"/>
      <w:r>
        <w:rPr>
          <w:sz w:val="20"/>
          <w:szCs w:val="20"/>
        </w:rPr>
        <w:t xml:space="preserve">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</w:t>
      </w:r>
    </w:p>
    <w:p w:rsidR="00F548F0" w:rsidRDefault="00F548F0" w:rsidP="00F548F0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/>
          <w:bCs/>
          <w:sz w:val="20"/>
          <w:szCs w:val="20"/>
        </w:rPr>
      </w:pPr>
    </w:p>
    <w:p w:rsidR="00F548F0" w:rsidRDefault="00F548F0" w:rsidP="00F548F0">
      <w:pPr>
        <w:widowControl w:val="0"/>
        <w:tabs>
          <w:tab w:val="left" w:pos="1666"/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0"/>
          <w:szCs w:val="20"/>
          <w:lang w:bidi="ru-RU"/>
        </w:rPr>
      </w:pPr>
      <w:r>
        <w:rPr>
          <w:snapToGrid w:val="0"/>
          <w:sz w:val="20"/>
          <w:szCs w:val="20"/>
        </w:rPr>
        <w:t xml:space="preserve">             2.1. Коды направления расходов местного бюджета</w:t>
      </w:r>
      <w:proofErr w:type="gramStart"/>
      <w:r>
        <w:rPr>
          <w:snapToGrid w:val="0"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содержащие значения </w:t>
      </w:r>
      <w:r>
        <w:rPr>
          <w:snapToGrid w:val="0"/>
          <w:sz w:val="20"/>
          <w:szCs w:val="20"/>
        </w:rPr>
        <w:t xml:space="preserve"> </w:t>
      </w:r>
      <w:r>
        <w:rPr>
          <w:rStyle w:val="2"/>
          <w:rFonts w:eastAsiaTheme="minorEastAsia"/>
          <w:sz w:val="20"/>
          <w:szCs w:val="20"/>
        </w:rPr>
        <w:t xml:space="preserve">30000-39990, 50000-59990, 80000-89990, </w:t>
      </w:r>
      <w:r>
        <w:rPr>
          <w:rStyle w:val="2"/>
          <w:rFonts w:eastAsiaTheme="minorEastAsia"/>
          <w:sz w:val="20"/>
          <w:szCs w:val="20"/>
          <w:lang w:val="en-US" w:eastAsia="en-US" w:bidi="en-US"/>
        </w:rPr>
        <w:t>R</w:t>
      </w:r>
      <w:r>
        <w:rPr>
          <w:rStyle w:val="2"/>
          <w:rFonts w:eastAsiaTheme="minorEastAsia"/>
          <w:sz w:val="20"/>
          <w:szCs w:val="20"/>
          <w:lang w:eastAsia="en-US" w:bidi="en-US"/>
        </w:rPr>
        <w:t>0000-</w:t>
      </w:r>
      <w:r>
        <w:rPr>
          <w:rStyle w:val="2"/>
          <w:rFonts w:eastAsiaTheme="minorEastAsia"/>
          <w:sz w:val="20"/>
          <w:szCs w:val="20"/>
          <w:lang w:val="en-US" w:eastAsia="en-US" w:bidi="en-US"/>
        </w:rPr>
        <w:t>R</w:t>
      </w:r>
      <w:r>
        <w:rPr>
          <w:rStyle w:val="2"/>
          <w:rFonts w:eastAsiaTheme="minorEastAsia"/>
          <w:sz w:val="20"/>
          <w:szCs w:val="20"/>
          <w:lang w:eastAsia="en-US" w:bidi="en-US"/>
        </w:rPr>
        <w:t xml:space="preserve">9990, </w:t>
      </w:r>
      <w:r>
        <w:rPr>
          <w:rStyle w:val="2"/>
          <w:rFonts w:eastAsiaTheme="minorEastAsia"/>
          <w:sz w:val="20"/>
          <w:szCs w:val="20"/>
          <w:lang w:val="en-US" w:eastAsia="en-US" w:bidi="en-US"/>
        </w:rPr>
        <w:t>L</w:t>
      </w:r>
      <w:r>
        <w:rPr>
          <w:rStyle w:val="2"/>
          <w:rFonts w:eastAsiaTheme="minorEastAsia"/>
          <w:sz w:val="20"/>
          <w:szCs w:val="20"/>
          <w:lang w:eastAsia="en-US" w:bidi="en-US"/>
        </w:rPr>
        <w:t>0000-</w:t>
      </w:r>
      <w:r>
        <w:rPr>
          <w:rStyle w:val="2"/>
          <w:rFonts w:eastAsiaTheme="minorEastAsia"/>
          <w:sz w:val="20"/>
          <w:szCs w:val="20"/>
          <w:lang w:val="en-US" w:eastAsia="en-US" w:bidi="en-US"/>
        </w:rPr>
        <w:t>L</w:t>
      </w:r>
      <w:r>
        <w:rPr>
          <w:rStyle w:val="2"/>
          <w:rFonts w:eastAsiaTheme="minorEastAsia"/>
          <w:sz w:val="20"/>
          <w:szCs w:val="20"/>
          <w:lang w:eastAsia="en-US" w:bidi="en-US"/>
        </w:rPr>
        <w:t xml:space="preserve">9990, </w:t>
      </w:r>
      <w:r>
        <w:rPr>
          <w:rStyle w:val="2"/>
          <w:rFonts w:eastAsiaTheme="minorEastAsia"/>
          <w:sz w:val="20"/>
          <w:szCs w:val="20"/>
          <w:lang w:val="en-US" w:eastAsia="en-US" w:bidi="en-US"/>
        </w:rPr>
        <w:t>S</w:t>
      </w:r>
      <w:r>
        <w:rPr>
          <w:rStyle w:val="2"/>
          <w:rFonts w:eastAsiaTheme="minorEastAsia"/>
          <w:sz w:val="20"/>
          <w:szCs w:val="20"/>
          <w:lang w:eastAsia="en-US" w:bidi="en-US"/>
        </w:rPr>
        <w:t>0000-</w:t>
      </w:r>
      <w:r>
        <w:rPr>
          <w:rStyle w:val="2"/>
          <w:rFonts w:eastAsiaTheme="minorEastAsia"/>
          <w:sz w:val="20"/>
          <w:szCs w:val="20"/>
          <w:lang w:val="en-US" w:eastAsia="en-US" w:bidi="en-US"/>
        </w:rPr>
        <w:t>S</w:t>
      </w:r>
      <w:r>
        <w:rPr>
          <w:rStyle w:val="2"/>
          <w:rFonts w:eastAsiaTheme="minorEastAsia"/>
          <w:sz w:val="20"/>
          <w:szCs w:val="20"/>
          <w:lang w:eastAsia="en-US" w:bidi="en-US"/>
        </w:rPr>
        <w:t>9990</w:t>
      </w:r>
      <w:r>
        <w:rPr>
          <w:color w:val="000000"/>
          <w:sz w:val="20"/>
          <w:szCs w:val="20"/>
          <w:lang w:bidi="ru-RU"/>
        </w:rPr>
        <w:t xml:space="preserve"> используются для отражения расходов местного бюджета, источником финансового обеспечения которых являются межбюджетные трансферты, имеющие целевое назначение, предоставляемые из областного и районного бюджета, в следующем порядке, если иное не установлено настоящими Указаниями:</w:t>
      </w:r>
    </w:p>
    <w:p w:rsidR="00F548F0" w:rsidRDefault="00F548F0" w:rsidP="00F548F0">
      <w:pPr>
        <w:widowControl w:val="0"/>
        <w:tabs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30000-39990, 50000-59990, 80000-89990, </w:t>
      </w:r>
      <w:r>
        <w:rPr>
          <w:color w:val="000000"/>
          <w:sz w:val="20"/>
          <w:szCs w:val="20"/>
          <w:lang w:val="en-US" w:eastAsia="en-US" w:bidi="en-US"/>
        </w:rPr>
        <w:t>R</w:t>
      </w:r>
      <w:r>
        <w:rPr>
          <w:color w:val="000000"/>
          <w:sz w:val="20"/>
          <w:szCs w:val="20"/>
          <w:lang w:eastAsia="en-US" w:bidi="en-US"/>
        </w:rPr>
        <w:t>0000-</w:t>
      </w:r>
      <w:r>
        <w:rPr>
          <w:color w:val="000000"/>
          <w:sz w:val="20"/>
          <w:szCs w:val="20"/>
          <w:lang w:val="en-US" w:eastAsia="en-US" w:bidi="en-US"/>
        </w:rPr>
        <w:t>R</w:t>
      </w:r>
      <w:r>
        <w:rPr>
          <w:color w:val="000000"/>
          <w:sz w:val="20"/>
          <w:szCs w:val="20"/>
          <w:lang w:eastAsia="en-US" w:bidi="en-US"/>
        </w:rPr>
        <w:t xml:space="preserve">9990 </w:t>
      </w:r>
      <w:r>
        <w:rPr>
          <w:color w:val="000000"/>
          <w:sz w:val="20"/>
          <w:szCs w:val="20"/>
          <w:lang w:bidi="ru-RU"/>
        </w:rPr>
        <w:t>-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и районного бюджета;</w:t>
      </w:r>
    </w:p>
    <w:p w:rsidR="00F548F0" w:rsidRDefault="00F548F0" w:rsidP="00F548F0">
      <w:pPr>
        <w:widowControl w:val="0"/>
        <w:tabs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</w:t>
      </w:r>
      <w:r>
        <w:rPr>
          <w:color w:val="000000"/>
          <w:sz w:val="20"/>
          <w:szCs w:val="20"/>
          <w:lang w:val="en-US" w:eastAsia="en-US" w:bidi="en-US"/>
        </w:rPr>
        <w:t>L</w:t>
      </w:r>
      <w:r>
        <w:rPr>
          <w:color w:val="000000"/>
          <w:sz w:val="20"/>
          <w:szCs w:val="20"/>
          <w:lang w:eastAsia="en-US" w:bidi="en-US"/>
        </w:rPr>
        <w:t>0000-</w:t>
      </w:r>
      <w:r>
        <w:rPr>
          <w:color w:val="000000"/>
          <w:sz w:val="20"/>
          <w:szCs w:val="20"/>
          <w:lang w:val="en-US" w:eastAsia="en-US" w:bidi="en-US"/>
        </w:rPr>
        <w:t>L</w:t>
      </w:r>
      <w:r>
        <w:rPr>
          <w:color w:val="000000"/>
          <w:sz w:val="20"/>
          <w:szCs w:val="20"/>
          <w:lang w:eastAsia="en-US" w:bidi="en-US"/>
        </w:rPr>
        <w:t xml:space="preserve">9990 </w:t>
      </w:r>
      <w:r>
        <w:rPr>
          <w:color w:val="000000"/>
          <w:sz w:val="20"/>
          <w:szCs w:val="20"/>
          <w:lang w:bidi="ru-RU"/>
        </w:rPr>
        <w:t xml:space="preserve">- для отражения расходов местных бюджетов, в целях </w:t>
      </w:r>
      <w:proofErr w:type="spellStart"/>
      <w:r>
        <w:rPr>
          <w:color w:val="000000"/>
          <w:sz w:val="20"/>
          <w:szCs w:val="20"/>
          <w:lang w:bidi="ru-RU"/>
        </w:rPr>
        <w:t>софинансирования</w:t>
      </w:r>
      <w:proofErr w:type="spellEnd"/>
      <w:r>
        <w:rPr>
          <w:color w:val="000000"/>
          <w:sz w:val="20"/>
          <w:szCs w:val="20"/>
          <w:lang w:bidi="ru-RU"/>
        </w:rPr>
        <w:t xml:space="preserve"> которых из районного бюджета предоставляются субсидии и иные межбюджетные трансферты, </w:t>
      </w:r>
      <w:proofErr w:type="spellStart"/>
      <w:r>
        <w:rPr>
          <w:color w:val="000000"/>
          <w:sz w:val="20"/>
          <w:szCs w:val="20"/>
          <w:lang w:bidi="ru-RU"/>
        </w:rPr>
        <w:t>софинансируемые</w:t>
      </w:r>
      <w:proofErr w:type="spellEnd"/>
      <w:r>
        <w:rPr>
          <w:color w:val="000000"/>
          <w:sz w:val="20"/>
          <w:szCs w:val="20"/>
          <w:lang w:bidi="ru-RU"/>
        </w:rPr>
        <w:t xml:space="preserve"> из федерального бюджета;</w:t>
      </w:r>
    </w:p>
    <w:p w:rsidR="00F548F0" w:rsidRDefault="00F548F0" w:rsidP="00F548F0">
      <w:pPr>
        <w:widowControl w:val="0"/>
        <w:tabs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eastAsia="en-US" w:bidi="en-US"/>
        </w:rPr>
        <w:t xml:space="preserve">           </w:t>
      </w:r>
      <w:proofErr w:type="gramStart"/>
      <w:r>
        <w:rPr>
          <w:color w:val="000000"/>
          <w:sz w:val="20"/>
          <w:szCs w:val="20"/>
          <w:lang w:val="en-US" w:eastAsia="en-US" w:bidi="en-US"/>
        </w:rPr>
        <w:t>S</w:t>
      </w:r>
      <w:r>
        <w:rPr>
          <w:color w:val="000000"/>
          <w:sz w:val="20"/>
          <w:szCs w:val="20"/>
          <w:lang w:eastAsia="en-US" w:bidi="en-US"/>
        </w:rPr>
        <w:t>0000-</w:t>
      </w:r>
      <w:r>
        <w:rPr>
          <w:color w:val="000000"/>
          <w:sz w:val="20"/>
          <w:szCs w:val="20"/>
          <w:lang w:val="en-US" w:eastAsia="en-US" w:bidi="en-US"/>
        </w:rPr>
        <w:t>S</w:t>
      </w:r>
      <w:r>
        <w:rPr>
          <w:color w:val="000000"/>
          <w:sz w:val="20"/>
          <w:szCs w:val="20"/>
          <w:lang w:eastAsia="en-US" w:bidi="en-US"/>
        </w:rPr>
        <w:t xml:space="preserve">9990 </w:t>
      </w:r>
      <w:r>
        <w:rPr>
          <w:color w:val="000000"/>
          <w:sz w:val="20"/>
          <w:szCs w:val="20"/>
          <w:lang w:bidi="ru-RU"/>
        </w:rPr>
        <w:t xml:space="preserve">- для отражения расходов местных бюджетов, в целях </w:t>
      </w:r>
      <w:proofErr w:type="spellStart"/>
      <w:r>
        <w:rPr>
          <w:color w:val="000000"/>
          <w:sz w:val="20"/>
          <w:szCs w:val="20"/>
          <w:lang w:bidi="ru-RU"/>
        </w:rPr>
        <w:t>софинансирования</w:t>
      </w:r>
      <w:proofErr w:type="spellEnd"/>
      <w:r>
        <w:rPr>
          <w:color w:val="000000"/>
          <w:sz w:val="20"/>
          <w:szCs w:val="20"/>
          <w:lang w:bidi="ru-RU"/>
        </w:rPr>
        <w:t xml:space="preserve"> которых из </w:t>
      </w:r>
      <w:r>
        <w:rPr>
          <w:color w:val="000000"/>
          <w:sz w:val="20"/>
          <w:szCs w:val="20"/>
          <w:lang w:bidi="ru-RU"/>
        </w:rPr>
        <w:lastRenderedPageBreak/>
        <w:t xml:space="preserve">областного и районного бюджета предоставляются местным бюджетам субсидии, которые не </w:t>
      </w:r>
      <w:proofErr w:type="spellStart"/>
      <w:r>
        <w:rPr>
          <w:color w:val="000000"/>
          <w:sz w:val="20"/>
          <w:szCs w:val="20"/>
          <w:lang w:bidi="ru-RU"/>
        </w:rPr>
        <w:t>софинансируются</w:t>
      </w:r>
      <w:proofErr w:type="spellEnd"/>
      <w:r>
        <w:rPr>
          <w:color w:val="000000"/>
          <w:sz w:val="20"/>
          <w:szCs w:val="20"/>
          <w:lang w:bidi="ru-RU"/>
        </w:rPr>
        <w:t xml:space="preserve"> из федерального бюджета.</w:t>
      </w:r>
      <w:proofErr w:type="gramEnd"/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outlineLvl w:val="4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proofErr w:type="gramStart"/>
      <w:r>
        <w:rPr>
          <w:sz w:val="20"/>
          <w:szCs w:val="20"/>
        </w:rPr>
        <w:t xml:space="preserve">При формировании кодов целевых статей расходов, содержащих направления расходов местного бюджета, 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0000 – 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 xml:space="preserve">9990,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0000 –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9990, обеспечивается на уровне второго – четвертого разрядов направлений расходов однозначная увязка кодов расходов местных бюджетов, в целях </w:t>
      </w:r>
      <w:proofErr w:type="spellStart"/>
      <w:r>
        <w:rPr>
          <w:sz w:val="20"/>
          <w:szCs w:val="20"/>
        </w:rPr>
        <w:t>софинансирования</w:t>
      </w:r>
      <w:proofErr w:type="spellEnd"/>
      <w:r>
        <w:rPr>
          <w:sz w:val="20"/>
          <w:szCs w:val="20"/>
        </w:rPr>
        <w:t xml:space="preserve"> которых из бюджетов бюджетной системы Российской Федерации предоставлены субсидии, с кодами направлений расходов местных бюджетов, за счет указанных субсидий.</w:t>
      </w:r>
      <w:proofErr w:type="gramEnd"/>
    </w:p>
    <w:p w:rsidR="00F548F0" w:rsidRDefault="00F548F0" w:rsidP="00F548F0">
      <w:pPr>
        <w:autoSpaceDE w:val="0"/>
        <w:autoSpaceDN w:val="0"/>
        <w:adjustRightInd w:val="0"/>
        <w:ind w:firstLine="709"/>
        <w:jc w:val="both"/>
        <w:outlineLvl w:val="4"/>
        <w:rPr>
          <w:rStyle w:val="2"/>
          <w:rFonts w:eastAsiaTheme="minorEastAsia"/>
          <w:sz w:val="20"/>
          <w:szCs w:val="20"/>
        </w:rPr>
      </w:pPr>
      <w:r>
        <w:rPr>
          <w:rStyle w:val="2"/>
          <w:rFonts w:eastAsiaTheme="minorEastAsia"/>
          <w:sz w:val="20"/>
          <w:szCs w:val="20"/>
        </w:rPr>
        <w:t>Отражение расходов местного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в коде направления расходов первый-четвертый разряды, идентичные первому-четвертому разрядам кодов направлений расходов областного бюджета, по которым предоставляются соответствующие субвенции.</w:t>
      </w:r>
    </w:p>
    <w:p w:rsidR="00F548F0" w:rsidRDefault="00F548F0" w:rsidP="00F548F0">
      <w:pPr>
        <w:widowControl w:val="0"/>
        <w:tabs>
          <w:tab w:val="left" w:pos="1844"/>
          <w:tab w:val="left" w:pos="10490"/>
        </w:tabs>
        <w:spacing w:line="322" w:lineRule="exact"/>
        <w:ind w:right="42" w:firstLine="720"/>
        <w:jc w:val="both"/>
      </w:pPr>
      <w:r>
        <w:rPr>
          <w:color w:val="000000"/>
          <w:sz w:val="20"/>
          <w:szCs w:val="20"/>
          <w:lang w:bidi="ru-RU"/>
        </w:rPr>
        <w:t xml:space="preserve">2.3. </w:t>
      </w:r>
      <w:proofErr w:type="gramStart"/>
      <w:r>
        <w:rPr>
          <w:color w:val="000000"/>
          <w:sz w:val="20"/>
          <w:szCs w:val="20"/>
          <w:lang w:bidi="ru-RU"/>
        </w:rPr>
        <w:t>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30000-39990, 50000-59990, 80000</w:t>
      </w:r>
      <w:r>
        <w:rPr>
          <w:color w:val="000000"/>
          <w:sz w:val="20"/>
          <w:szCs w:val="20"/>
          <w:lang w:bidi="ru-RU"/>
        </w:rPr>
        <w:softHyphen/>
        <w:t xml:space="preserve">89990, </w:t>
      </w:r>
      <w:r>
        <w:rPr>
          <w:color w:val="000000"/>
          <w:sz w:val="20"/>
          <w:szCs w:val="20"/>
          <w:lang w:val="en-US" w:eastAsia="en-US" w:bidi="en-US"/>
        </w:rPr>
        <w:t>R</w:t>
      </w:r>
      <w:r>
        <w:rPr>
          <w:color w:val="000000"/>
          <w:sz w:val="20"/>
          <w:szCs w:val="20"/>
          <w:lang w:eastAsia="en-US" w:bidi="en-US"/>
        </w:rPr>
        <w:t>0000-</w:t>
      </w:r>
      <w:r>
        <w:rPr>
          <w:color w:val="000000"/>
          <w:sz w:val="20"/>
          <w:szCs w:val="20"/>
          <w:lang w:val="en-US" w:eastAsia="en-US" w:bidi="en-US"/>
        </w:rPr>
        <w:t>R</w:t>
      </w:r>
      <w:r>
        <w:rPr>
          <w:color w:val="000000"/>
          <w:sz w:val="20"/>
          <w:szCs w:val="20"/>
          <w:lang w:eastAsia="en-US" w:bidi="en-US"/>
        </w:rPr>
        <w:t xml:space="preserve">9990, </w:t>
      </w:r>
      <w:r>
        <w:rPr>
          <w:color w:val="000000"/>
          <w:sz w:val="20"/>
          <w:szCs w:val="20"/>
          <w:lang w:val="en-US" w:eastAsia="en-US" w:bidi="en-US"/>
        </w:rPr>
        <w:t>L</w:t>
      </w:r>
      <w:r>
        <w:rPr>
          <w:color w:val="000000"/>
          <w:sz w:val="20"/>
          <w:szCs w:val="20"/>
          <w:lang w:eastAsia="en-US" w:bidi="en-US"/>
        </w:rPr>
        <w:t>0000-</w:t>
      </w:r>
      <w:r>
        <w:rPr>
          <w:color w:val="000000"/>
          <w:sz w:val="20"/>
          <w:szCs w:val="20"/>
          <w:lang w:val="en-US" w:eastAsia="en-US" w:bidi="en-US"/>
        </w:rPr>
        <w:t>L</w:t>
      </w:r>
      <w:r>
        <w:rPr>
          <w:color w:val="000000"/>
          <w:sz w:val="20"/>
          <w:szCs w:val="20"/>
          <w:lang w:eastAsia="en-US" w:bidi="en-US"/>
        </w:rPr>
        <w:t xml:space="preserve">9990, </w:t>
      </w:r>
      <w:r>
        <w:rPr>
          <w:color w:val="000000"/>
          <w:sz w:val="20"/>
          <w:szCs w:val="20"/>
          <w:lang w:val="en-US" w:eastAsia="en-US" w:bidi="en-US"/>
        </w:rPr>
        <w:t>S</w:t>
      </w:r>
      <w:r>
        <w:rPr>
          <w:color w:val="000000"/>
          <w:sz w:val="20"/>
          <w:szCs w:val="20"/>
          <w:lang w:eastAsia="en-US" w:bidi="en-US"/>
        </w:rPr>
        <w:t>0000-</w:t>
      </w:r>
      <w:r>
        <w:rPr>
          <w:color w:val="000000"/>
          <w:sz w:val="20"/>
          <w:szCs w:val="20"/>
          <w:lang w:val="en-US" w:eastAsia="en-US" w:bidi="en-US"/>
        </w:rPr>
        <w:t>S</w:t>
      </w:r>
      <w:r>
        <w:rPr>
          <w:color w:val="000000"/>
          <w:sz w:val="20"/>
          <w:szCs w:val="20"/>
          <w:lang w:eastAsia="en-US" w:bidi="en-US"/>
        </w:rPr>
        <w:t xml:space="preserve">9990, </w:t>
      </w:r>
      <w:r>
        <w:rPr>
          <w:color w:val="000000"/>
          <w:sz w:val="20"/>
          <w:szCs w:val="20"/>
          <w:lang w:bidi="ru-RU"/>
        </w:rPr>
        <w:t xml:space="preserve">формируются финансовым отделом администрации </w:t>
      </w:r>
      <w:proofErr w:type="spellStart"/>
      <w:r>
        <w:rPr>
          <w:color w:val="000000"/>
          <w:sz w:val="20"/>
          <w:szCs w:val="20"/>
          <w:lang w:bidi="ru-RU"/>
        </w:rPr>
        <w:t>Курманаевского</w:t>
      </w:r>
      <w:proofErr w:type="spellEnd"/>
      <w:r>
        <w:rPr>
          <w:color w:val="000000"/>
          <w:sz w:val="20"/>
          <w:szCs w:val="20"/>
          <w:lang w:bidi="ru-RU"/>
        </w:rPr>
        <w:t xml:space="preserve"> района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  <w:proofErr w:type="gramEnd"/>
    </w:p>
    <w:p w:rsidR="00F548F0" w:rsidRDefault="00F548F0" w:rsidP="00F548F0">
      <w:pPr>
        <w:widowControl w:val="0"/>
        <w:tabs>
          <w:tab w:val="left" w:pos="1839"/>
        </w:tabs>
        <w:spacing w:line="322" w:lineRule="exact"/>
        <w:ind w:right="42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2.4.  </w:t>
      </w:r>
      <w:proofErr w:type="gramStart"/>
      <w:r>
        <w:rPr>
          <w:color w:val="000000"/>
          <w:sz w:val="20"/>
          <w:szCs w:val="20"/>
          <w:lang w:bidi="ru-RU"/>
        </w:rPr>
        <w:t xml:space="preserve">Финансовый отдел администрации </w:t>
      </w:r>
      <w:proofErr w:type="spellStart"/>
      <w:r>
        <w:rPr>
          <w:color w:val="000000"/>
          <w:sz w:val="20"/>
          <w:szCs w:val="20"/>
          <w:lang w:bidi="ru-RU"/>
        </w:rPr>
        <w:t>Курманаевского</w:t>
      </w:r>
      <w:proofErr w:type="spellEnd"/>
      <w:r>
        <w:rPr>
          <w:color w:val="000000"/>
          <w:sz w:val="20"/>
          <w:szCs w:val="20"/>
          <w:lang w:bidi="ru-RU"/>
        </w:rPr>
        <w:t xml:space="preserve"> района вправе установить необходимую детализацию пятого разряда кодов направлений расходов, содержащих значения 30000-39990, 50000-59990, 80000-89990, </w:t>
      </w:r>
      <w:r>
        <w:rPr>
          <w:color w:val="000000"/>
          <w:sz w:val="20"/>
          <w:szCs w:val="20"/>
          <w:lang w:val="en-US" w:eastAsia="en-US" w:bidi="en-US"/>
        </w:rPr>
        <w:t>R</w:t>
      </w:r>
      <w:r>
        <w:rPr>
          <w:color w:val="000000"/>
          <w:sz w:val="20"/>
          <w:szCs w:val="20"/>
          <w:lang w:eastAsia="en-US" w:bidi="en-US"/>
        </w:rPr>
        <w:t>0000-</w:t>
      </w:r>
      <w:r>
        <w:rPr>
          <w:color w:val="000000"/>
          <w:sz w:val="20"/>
          <w:szCs w:val="20"/>
          <w:lang w:val="en-US" w:eastAsia="en-US" w:bidi="en-US"/>
        </w:rPr>
        <w:t>R</w:t>
      </w:r>
      <w:r>
        <w:rPr>
          <w:color w:val="000000"/>
          <w:sz w:val="20"/>
          <w:szCs w:val="20"/>
          <w:lang w:eastAsia="en-US" w:bidi="en-US"/>
        </w:rPr>
        <w:t xml:space="preserve">9990, </w:t>
      </w:r>
      <w:r>
        <w:rPr>
          <w:color w:val="000000"/>
          <w:sz w:val="20"/>
          <w:szCs w:val="20"/>
          <w:lang w:bidi="ru-RU"/>
        </w:rPr>
        <w:t>при отражении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</w:t>
      </w:r>
      <w:proofErr w:type="gramEnd"/>
    </w:p>
    <w:p w:rsidR="00F548F0" w:rsidRDefault="00F548F0" w:rsidP="00F548F0">
      <w:pPr>
        <w:widowControl w:val="0"/>
        <w:spacing w:line="322" w:lineRule="exact"/>
        <w:ind w:right="42" w:firstLine="58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>В случае если финансовый отдел муниципального образования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F548F0" w:rsidRDefault="00F548F0" w:rsidP="00F548F0">
      <w:pPr>
        <w:widowControl w:val="0"/>
        <w:tabs>
          <w:tab w:val="left" w:pos="1830"/>
        </w:tabs>
        <w:spacing w:line="322" w:lineRule="exact"/>
        <w:ind w:right="42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2.5.  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</w:t>
      </w:r>
      <w:proofErr w:type="spellStart"/>
      <w:r>
        <w:rPr>
          <w:color w:val="000000"/>
          <w:sz w:val="20"/>
          <w:szCs w:val="20"/>
          <w:lang w:bidi="ru-RU"/>
        </w:rPr>
        <w:t>Курманаевского</w:t>
      </w:r>
      <w:proofErr w:type="spellEnd"/>
      <w:r>
        <w:rPr>
          <w:color w:val="000000"/>
          <w:sz w:val="20"/>
          <w:szCs w:val="20"/>
          <w:lang w:bidi="ru-RU"/>
        </w:rPr>
        <w:t xml:space="preserve"> района, обеспечивается их однозначная увязка с кодами целевых статей расходов областного бюджета на уровне четвертого- пятого разрядов кода целевой статьи расходов.</w:t>
      </w:r>
    </w:p>
    <w:p w:rsidR="00F548F0" w:rsidRDefault="00F548F0" w:rsidP="00F548F0">
      <w:pPr>
        <w:widowControl w:val="0"/>
        <w:spacing w:line="322" w:lineRule="exact"/>
        <w:ind w:right="42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Расходы местного бюджета, в целях финансового обеспечения (</w:t>
      </w:r>
      <w:proofErr w:type="spellStart"/>
      <w:r>
        <w:rPr>
          <w:color w:val="000000"/>
          <w:sz w:val="20"/>
          <w:szCs w:val="20"/>
          <w:lang w:bidi="ru-RU"/>
        </w:rPr>
        <w:t>софинансирования</w:t>
      </w:r>
      <w:proofErr w:type="spellEnd"/>
      <w:r>
        <w:rPr>
          <w:color w:val="000000"/>
          <w:sz w:val="20"/>
          <w:szCs w:val="20"/>
          <w:lang w:bidi="ru-RU"/>
        </w:rPr>
        <w:t xml:space="preserve">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50000-59990,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</w:t>
      </w:r>
      <w:proofErr w:type="spellStart"/>
      <w:r>
        <w:rPr>
          <w:color w:val="000000"/>
          <w:sz w:val="20"/>
          <w:szCs w:val="20"/>
          <w:lang w:bidi="ru-RU"/>
        </w:rPr>
        <w:t>Курманаевского</w:t>
      </w:r>
      <w:proofErr w:type="spellEnd"/>
      <w:r>
        <w:rPr>
          <w:color w:val="000000"/>
          <w:sz w:val="20"/>
          <w:szCs w:val="20"/>
          <w:lang w:bidi="ru-RU"/>
        </w:rPr>
        <w:t xml:space="preserve"> района.</w:t>
      </w:r>
    </w:p>
    <w:p w:rsidR="00F548F0" w:rsidRDefault="00F548F0" w:rsidP="00F548F0">
      <w:pPr>
        <w:widowControl w:val="0"/>
        <w:tabs>
          <w:tab w:val="left" w:pos="1634"/>
        </w:tabs>
        <w:spacing w:line="322" w:lineRule="exact"/>
        <w:ind w:right="42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2.6. Отражение в текущем финансовом году расходов местного бюджета, осуществляемых за счет остатков межбюджетных трансфертов из областного бюджета, имеющих целевое назначение, прошлых </w:t>
      </w:r>
      <w:r>
        <w:rPr>
          <w:color w:val="000000"/>
          <w:sz w:val="20"/>
          <w:szCs w:val="20"/>
          <w:lang w:bidi="ru-RU"/>
        </w:rPr>
        <w:lastRenderedPageBreak/>
        <w:t>лет, производится в следующем порядке:</w:t>
      </w:r>
    </w:p>
    <w:p w:rsidR="00F548F0" w:rsidRDefault="00F548F0" w:rsidP="00F548F0">
      <w:pPr>
        <w:widowControl w:val="0"/>
        <w:spacing w:line="322" w:lineRule="exact"/>
        <w:ind w:right="42" w:firstLine="580"/>
        <w:jc w:val="both"/>
        <w:rPr>
          <w:color w:val="000000"/>
          <w:sz w:val="20"/>
          <w:szCs w:val="20"/>
          <w:lang w:bidi="ru-RU"/>
        </w:rPr>
      </w:pPr>
      <w:proofErr w:type="gramStart"/>
      <w:r>
        <w:rPr>
          <w:color w:val="000000"/>
          <w:sz w:val="20"/>
          <w:szCs w:val="20"/>
          <w:lang w:bidi="ru-RU"/>
        </w:rPr>
        <w:t>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 - по соответствующим направлениям расходов;</w:t>
      </w:r>
      <w:proofErr w:type="gramEnd"/>
    </w:p>
    <w:p w:rsidR="00F548F0" w:rsidRDefault="00F548F0" w:rsidP="00F548F0">
      <w:pPr>
        <w:widowControl w:val="0"/>
        <w:spacing w:line="322" w:lineRule="exact"/>
        <w:ind w:right="42" w:firstLine="1100"/>
        <w:jc w:val="both"/>
        <w:rPr>
          <w:color w:val="000000"/>
          <w:sz w:val="20"/>
          <w:szCs w:val="20"/>
          <w:lang w:bidi="ru-RU"/>
        </w:rPr>
      </w:pPr>
      <w:proofErr w:type="gramStart"/>
      <w:r>
        <w:rPr>
          <w:color w:val="000000"/>
          <w:sz w:val="20"/>
          <w:szCs w:val="20"/>
          <w:lang w:bidi="ru-RU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>
        <w:rPr>
          <w:color w:val="000000"/>
          <w:sz w:val="20"/>
          <w:szCs w:val="20"/>
          <w:lang w:bidi="ru-RU"/>
        </w:rPr>
        <w:t xml:space="preserve"> -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F548F0" w:rsidRDefault="00F548F0" w:rsidP="00F548F0">
      <w:pPr>
        <w:widowControl w:val="0"/>
        <w:spacing w:line="322" w:lineRule="exact"/>
        <w:ind w:firstLine="1100"/>
        <w:jc w:val="both"/>
        <w:rPr>
          <w:rStyle w:val="2"/>
          <w:rFonts w:eastAsiaTheme="minorEastAsia"/>
          <w:sz w:val="20"/>
          <w:szCs w:val="20"/>
        </w:rPr>
      </w:pPr>
      <w:proofErr w:type="gramStart"/>
      <w:r>
        <w:rPr>
          <w:color w:val="000000"/>
          <w:sz w:val="20"/>
          <w:szCs w:val="20"/>
          <w:lang w:bidi="ru-RU"/>
        </w:rPr>
        <w:t xml:space="preserve">В целях обособления расходов местного бюджета, источником финансового обеспечения которых являются целевые межбюджетные трансферты из областного бюджета прошлых лет, финансовый отдел администрации </w:t>
      </w:r>
      <w:proofErr w:type="spellStart"/>
      <w:r>
        <w:rPr>
          <w:color w:val="000000"/>
          <w:sz w:val="20"/>
          <w:szCs w:val="20"/>
          <w:lang w:bidi="ru-RU"/>
        </w:rPr>
        <w:t>Курманаевского</w:t>
      </w:r>
      <w:proofErr w:type="spellEnd"/>
      <w:r>
        <w:rPr>
          <w:color w:val="000000"/>
          <w:sz w:val="20"/>
          <w:szCs w:val="20"/>
          <w:lang w:bidi="ru-RU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</w:t>
      </w:r>
      <w:proofErr w:type="gramEnd"/>
      <w:r>
        <w:rPr>
          <w:color w:val="000000"/>
          <w:sz w:val="20"/>
          <w:szCs w:val="20"/>
          <w:lang w:bidi="ru-RU"/>
        </w:rPr>
        <w:t xml:space="preserve">. Детализация производится с применением буквенно-цифрового ряда: 1, 2, 3, 4, 5, 6, 7, 8, 9, А, Б, В, Г, Д, Е, Ж, И, К, Л, М, Н, О, </w:t>
      </w:r>
      <w:proofErr w:type="gramStart"/>
      <w:r>
        <w:rPr>
          <w:color w:val="000000"/>
          <w:sz w:val="20"/>
          <w:szCs w:val="20"/>
          <w:lang w:bidi="ru-RU"/>
        </w:rPr>
        <w:t>П</w:t>
      </w:r>
      <w:proofErr w:type="gramEnd"/>
      <w:r>
        <w:rPr>
          <w:color w:val="000000"/>
          <w:sz w:val="20"/>
          <w:szCs w:val="20"/>
          <w:lang w:bidi="ru-RU"/>
        </w:rPr>
        <w:t xml:space="preserve">, Р, С, Т, У, Ф, Ц, Ч, Ш, Щ, Э, </w:t>
      </w:r>
      <w:r>
        <w:rPr>
          <w:rFonts w:eastAsia="Arial Unicode MS"/>
          <w:color w:val="000000"/>
          <w:sz w:val="20"/>
          <w:szCs w:val="20"/>
          <w:lang w:bidi="ru-RU"/>
        </w:rPr>
        <w:t xml:space="preserve">Ю, Я,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D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F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G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I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J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L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N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Q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R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S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U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bidi="ru-RU"/>
        </w:rPr>
        <w:t>V</w:t>
      </w:r>
      <w:r>
        <w:rPr>
          <w:rFonts w:eastAsia="Arial Unicode MS"/>
          <w:color w:val="000000"/>
          <w:sz w:val="20"/>
          <w:szCs w:val="20"/>
          <w:lang w:bidi="ru-RU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W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Y</w:t>
      </w:r>
      <w:r>
        <w:rPr>
          <w:rFonts w:eastAsia="Arial Unicode MS"/>
          <w:color w:val="000000"/>
          <w:sz w:val="20"/>
          <w:szCs w:val="20"/>
          <w:lang w:eastAsia="en-US" w:bidi="en-US"/>
        </w:rPr>
        <w:t xml:space="preserve">, </w:t>
      </w:r>
      <w:r>
        <w:rPr>
          <w:rFonts w:eastAsia="Arial Unicode MS"/>
          <w:color w:val="000000"/>
          <w:sz w:val="20"/>
          <w:szCs w:val="20"/>
          <w:lang w:val="en-US" w:eastAsia="en-US" w:bidi="en-US"/>
        </w:rPr>
        <w:t>Z</w:t>
      </w:r>
      <w:r>
        <w:rPr>
          <w:rFonts w:eastAsia="Arial Unicode MS"/>
          <w:color w:val="000000"/>
          <w:sz w:val="20"/>
          <w:szCs w:val="20"/>
          <w:lang w:eastAsia="en-US" w:bidi="en-US"/>
        </w:rPr>
        <w:t>.</w:t>
      </w:r>
    </w:p>
    <w:p w:rsidR="00F548F0" w:rsidRDefault="00F548F0" w:rsidP="00F548F0">
      <w:pPr>
        <w:widowControl w:val="0"/>
        <w:tabs>
          <w:tab w:val="left" w:pos="1679"/>
        </w:tabs>
        <w:spacing w:line="322" w:lineRule="exact"/>
        <w:ind w:right="42"/>
        <w:jc w:val="both"/>
      </w:pPr>
    </w:p>
    <w:p w:rsidR="00F548F0" w:rsidRDefault="00F548F0" w:rsidP="00F548F0">
      <w:pPr>
        <w:rPr>
          <w:color w:val="000000"/>
          <w:sz w:val="20"/>
          <w:szCs w:val="20"/>
          <w:lang w:bidi="ru-RU"/>
        </w:rPr>
        <w:sectPr w:rsidR="00F548F0">
          <w:pgSz w:w="11900" w:h="16840"/>
          <w:pgMar w:top="1134" w:right="850" w:bottom="1134" w:left="1701" w:header="0" w:footer="3" w:gutter="0"/>
          <w:cols w:space="720"/>
        </w:sectPr>
      </w:pPr>
    </w:p>
    <w:p w:rsidR="00F548F0" w:rsidRDefault="00F548F0" w:rsidP="00F548F0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Перечень</w:t>
      </w:r>
    </w:p>
    <w:p w:rsidR="00F548F0" w:rsidRDefault="00F548F0" w:rsidP="00F548F0">
      <w:pPr>
        <w:jc w:val="center"/>
        <w:rPr>
          <w:sz w:val="20"/>
          <w:szCs w:val="20"/>
        </w:rPr>
      </w:pPr>
      <w:r>
        <w:rPr>
          <w:sz w:val="20"/>
          <w:szCs w:val="20"/>
        </w:rPr>
        <w:t>кодов целевых статей расходов местного бюджета</w:t>
      </w:r>
    </w:p>
    <w:p w:rsidR="00F548F0" w:rsidRDefault="00F548F0" w:rsidP="00F548F0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F548F0" w:rsidTr="00F548F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8F0" w:rsidRDefault="00F548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8F0" w:rsidRDefault="00F548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целевой статьи расходов</w:t>
            </w:r>
          </w:p>
        </w:tc>
      </w:tr>
    </w:tbl>
    <w:p w:rsidR="00F548F0" w:rsidRDefault="00F548F0" w:rsidP="00F548F0">
      <w:pPr>
        <w:rPr>
          <w:rFonts w:eastAsia="Times New Roman"/>
          <w:sz w:val="20"/>
          <w:szCs w:val="20"/>
        </w:rPr>
      </w:pPr>
    </w:p>
    <w:tbl>
      <w:tblPr>
        <w:tblW w:w="9356" w:type="dxa"/>
        <w:tblLook w:val="00A0"/>
      </w:tblPr>
      <w:tblGrid>
        <w:gridCol w:w="2117"/>
        <w:gridCol w:w="7239"/>
      </w:tblGrid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sz w:val="20"/>
                <w:szCs w:val="20"/>
              </w:rPr>
              <w:t xml:space="preserve">«Устойчивое развитие  территории муниципального образования Волжский сельсовет </w:t>
            </w:r>
            <w:proofErr w:type="spellStart"/>
            <w:r>
              <w:rPr>
                <w:rFonts w:eastAsia="Calibri"/>
                <w:sz w:val="20"/>
                <w:szCs w:val="20"/>
              </w:rPr>
              <w:t>Курманаевского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района Оренбургской области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на 2019 - 2024 годы» 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дорожного хозяйства муниципального образования Волжский сельсовет на 2019-2024 годы»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53 1 02 00000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дорог общего пользования муниципального значения»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53 1 02 90750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жилищно-коммунального хозяйства и благоустройство территории муниципального образования Волжский сельсовет»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</w:t>
            </w:r>
            <w:proofErr w:type="gramStart"/>
            <w:r>
              <w:rPr>
                <w:sz w:val="20"/>
                <w:szCs w:val="20"/>
              </w:rPr>
              <w:t>:Ф</w:t>
            </w:r>
            <w:proofErr w:type="gramEnd"/>
            <w:r>
              <w:rPr>
                <w:sz w:val="20"/>
                <w:szCs w:val="20"/>
              </w:rPr>
              <w:t>инансирование мероприятий по уличному освещению»</w:t>
            </w:r>
          </w:p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53 2 01 96101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уличное освещение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«Оплата за содержание уличного освещения»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53 2 01 96102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53 2 02 00000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"Благоустройство территории сельского поселения"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53 2 02 96300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территории поселения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53 2 02 96400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53 2 02 96500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«Мобилизационная и вневойсковая подготовка на территории муниципального образования Волжский сельсовет на 2019-2024 годы»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53 3 01 51180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53 4 00 00000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rFonts w:eastAsia="Calibri"/>
                <w:sz w:val="20"/>
                <w:szCs w:val="20"/>
                <w:lang w:eastAsia="en-US"/>
              </w:rPr>
              <w:t>«Организация деятельности  муниципального образования Волжский сельсовет на решение вопросов местного значения  на 2019 – 2024 годы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функций аппарата администрации муниципального образования Волжский сельсовет»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53 4 01 10010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53 4 01 10020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аппарата администрации муниципального образования Волжский сельсовет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53 4 02 00000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«Уплата налогов, сборов и иных платежей»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53 4 02 10020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Уплата налогов, сборов и иных платежей 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53 4 03 00000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мероприятий по ГО, транспорту, связи, торговли в границах поселения» 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53 4 03 10020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</w:tr>
      <w:tr w:rsidR="00F548F0" w:rsidTr="00F548F0">
        <w:trPr>
          <w:cantSplit/>
          <w:trHeight w:val="627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53 4 04 00000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«Исполнение, формирование бюджета поселения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исполнением данного бюджета» </w:t>
            </w:r>
          </w:p>
        </w:tc>
      </w:tr>
      <w:tr w:rsidR="00F548F0" w:rsidTr="00F548F0">
        <w:trPr>
          <w:cantSplit/>
          <w:trHeight w:val="551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53 4 04 10020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F548F0" w:rsidTr="00F548F0">
        <w:trPr>
          <w:cantSplit/>
          <w:trHeight w:val="551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48F0" w:rsidRDefault="00F548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Основное мероприятие «Организация и осуществление мероприятий по работе с детьми и молодежью в поселении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8F0" w:rsidTr="00F548F0">
        <w:trPr>
          <w:cantSplit/>
          <w:trHeight w:val="551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53 4 0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</w:tr>
      <w:tr w:rsidR="00F548F0" w:rsidTr="00F548F0">
        <w:trPr>
          <w:cantSplit/>
          <w:trHeight w:val="603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53 5 00 00000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eastAsia="Calibri"/>
                <w:sz w:val="20"/>
                <w:szCs w:val="20"/>
                <w:lang w:eastAsia="en-US"/>
              </w:rPr>
              <w:t>«Обеспечение пожарной безопасности на территории  Волжский сельсовет на 2019-2024 годы»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53 5 01 00000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личного состава ДПК»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53 5 01 92470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личного состава ДПК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культуры на территории  муниципального образования Волжский сельсовет  на 2019-2024 годы»                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8F0" w:rsidRDefault="00F548F0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>
              <w:rPr>
                <w:bCs/>
                <w:sz w:val="20"/>
                <w:szCs w:val="20"/>
              </w:rPr>
              <w:t>Развитие культуры на территории поселения»</w:t>
            </w:r>
          </w:p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53 6 01 74400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53 6 02 00000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53 6 02 74420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 библиотечного обслуживания населения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53 8 00 00000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«Пенсионное обеспечение лиц, замещавших муниципальные должности  и должности муниципальной службы в муниципальном образовании Покровский сельсовет на 2019-2024 годы»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«Назначение муниципальной пенсии за выслугу лет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замещавшим муниципальные должности и должности муниципальной службы»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53 8 01 20580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Пенсия за выслугу лет муниципальным служащим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мероприятия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>
              <w:rPr>
                <w:sz w:val="20"/>
                <w:szCs w:val="20"/>
              </w:rPr>
              <w:t>Курманаевского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F548F0" w:rsidTr="00F548F0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8F0" w:rsidRDefault="00F548F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</w:tr>
    </w:tbl>
    <w:p w:rsidR="00F548F0" w:rsidRDefault="00F548F0" w:rsidP="00F548F0">
      <w:pPr>
        <w:rPr>
          <w:rFonts w:eastAsia="Times New Roman"/>
          <w:sz w:val="20"/>
          <w:szCs w:val="20"/>
        </w:rPr>
      </w:pPr>
    </w:p>
    <w:p w:rsidR="00065397" w:rsidRDefault="00065397"/>
    <w:sectPr w:rsidR="0006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48F0"/>
    <w:rsid w:val="00065397"/>
    <w:rsid w:val="00F5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Cell">
    <w:name w:val="ConsCell"/>
    <w:uiPriority w:val="99"/>
    <w:rsid w:val="00F548F0"/>
    <w:pPr>
      <w:widowControl w:val="0"/>
      <w:spacing w:after="0"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F5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"/>
    <w:rsid w:val="00F548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2078</Words>
  <Characters>11847</Characters>
  <Application>Microsoft Office Word</Application>
  <DocSecurity>0</DocSecurity>
  <Lines>98</Lines>
  <Paragraphs>27</Paragraphs>
  <ScaleCrop>false</ScaleCrop>
  <Company>Microsoft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VOLGA</dc:creator>
  <cp:keywords/>
  <dc:description/>
  <cp:lastModifiedBy>VOLGA</cp:lastModifiedBy>
  <cp:revision>3</cp:revision>
  <dcterms:created xsi:type="dcterms:W3CDTF">2020-02-07T04:19:00Z</dcterms:created>
  <dcterms:modified xsi:type="dcterms:W3CDTF">2020-02-07T04:19:00Z</dcterms:modified>
</cp:coreProperties>
</file>