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21" w:rsidRDefault="00292021" w:rsidP="00121257">
      <w:pPr>
        <w:spacing w:after="0" w:line="240" w:lineRule="auto"/>
        <w:ind w:firstLine="0"/>
        <w:jc w:val="right"/>
        <w:rPr>
          <w:bCs/>
          <w:iCs/>
          <w:color w:val="FF0000"/>
          <w:sz w:val="24"/>
          <w:szCs w:val="24"/>
          <w:lang w:eastAsia="ru-RU"/>
        </w:rPr>
      </w:pPr>
    </w:p>
    <w:p w:rsidR="00CE4764" w:rsidRDefault="00CE4764" w:rsidP="00121257">
      <w:pPr>
        <w:spacing w:after="0" w:line="240" w:lineRule="auto"/>
        <w:ind w:firstLine="0"/>
        <w:jc w:val="right"/>
        <w:rPr>
          <w:bCs/>
          <w:iCs/>
          <w:color w:val="FF0000"/>
          <w:sz w:val="24"/>
          <w:szCs w:val="24"/>
          <w:lang w:eastAsia="ru-RU"/>
        </w:rPr>
      </w:pPr>
      <w:r>
        <w:rPr>
          <w:bCs/>
          <w:iCs/>
          <w:color w:val="FF0000"/>
          <w:sz w:val="24"/>
          <w:szCs w:val="24"/>
          <w:lang w:eastAsia="ru-RU"/>
        </w:rPr>
        <w:t>проект</w:t>
      </w:r>
    </w:p>
    <w:p w:rsidR="00121257" w:rsidRPr="00292021" w:rsidRDefault="00C17653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АДМИНИСТРАЦИЯ ГУСЕВСКОГО СЕЛЬСКОГО ПОСЕЛЕНИЯ</w:t>
      </w:r>
    </w:p>
    <w:p w:rsidR="00292021" w:rsidRDefault="00C17653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ОЛЬХОВСКОГО МУНИУИПАЛЬНОГО РАЙОНА</w:t>
      </w:r>
    </w:p>
    <w:p w:rsidR="00C17653" w:rsidRPr="00292021" w:rsidRDefault="00C17653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bCs/>
          <w:iCs/>
          <w:color w:val="0D0D0D" w:themeColor="text1" w:themeTint="F2"/>
          <w:sz w:val="24"/>
          <w:szCs w:val="24"/>
          <w:lang w:eastAsia="ru-RU"/>
        </w:rPr>
        <w:t>ВОЛГОГРАДСКОЙ ОБЛАСТИ</w:t>
      </w:r>
    </w:p>
    <w:p w:rsidR="007F02B3" w:rsidRPr="00292021" w:rsidRDefault="007F02B3" w:rsidP="00292021">
      <w:pPr>
        <w:spacing w:after="0" w:line="240" w:lineRule="auto"/>
        <w:jc w:val="center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spacing w:after="0" w:line="240" w:lineRule="auto"/>
        <w:jc w:val="right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pStyle w:val="ConsTitle"/>
        <w:widowControl/>
        <w:ind w:right="0" w:firstLine="709"/>
        <w:jc w:val="center"/>
        <w:rPr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pStyle w:val="ConsTitle"/>
        <w:widowControl/>
        <w:ind w:right="0"/>
        <w:jc w:val="center"/>
        <w:rPr>
          <w:b w:val="0"/>
          <w:color w:val="0D0D0D" w:themeColor="text1" w:themeTint="F2"/>
          <w:sz w:val="24"/>
          <w:szCs w:val="24"/>
        </w:rPr>
      </w:pPr>
      <w:r w:rsidRPr="00292021">
        <w:rPr>
          <w:b w:val="0"/>
          <w:color w:val="0D0D0D" w:themeColor="text1" w:themeTint="F2"/>
          <w:sz w:val="24"/>
          <w:szCs w:val="24"/>
        </w:rPr>
        <w:t>ПОСТАНОВЛЕНИЕ</w:t>
      </w:r>
    </w:p>
    <w:p w:rsidR="007F02B3" w:rsidRPr="00292021" w:rsidRDefault="00C17653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Hlk152075247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bookmarkEnd w:id="0"/>
    <w:p w:rsidR="007F02B3" w:rsidRPr="00292021" w:rsidRDefault="007F02B3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spacing w:after="0"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от «___»__________ </w:t>
      </w:r>
      <w:r w:rsidRPr="00292021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20__ г.                                                         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Pr="00292021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 _____</w:t>
      </w:r>
    </w:p>
    <w:p w:rsidR="007F02B3" w:rsidRPr="00292021" w:rsidRDefault="007F02B3" w:rsidP="00292021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C17653" w:rsidP="00292021">
      <w:pPr>
        <w:widowControl w:val="0"/>
        <w:autoSpaceDE w:val="0"/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</w:t>
      </w:r>
      <w:proofErr w:type="gramStart"/>
      <w:r w:rsidR="00667641" w:rsidRPr="00292021">
        <w:rPr>
          <w:rFonts w:ascii="Arial" w:hAnsi="Arial" w:cs="Arial"/>
          <w:color w:val="0D0D0D" w:themeColor="text1" w:themeTint="F2"/>
          <w:sz w:val="24"/>
          <w:szCs w:val="24"/>
        </w:rPr>
        <w:t>поряд</w:t>
      </w:r>
      <w:r w:rsidR="00121257" w:rsidRPr="00292021">
        <w:rPr>
          <w:rFonts w:ascii="Arial" w:hAnsi="Arial" w:cs="Arial"/>
          <w:color w:val="0D0D0D" w:themeColor="text1" w:themeTint="F2"/>
          <w:sz w:val="24"/>
          <w:szCs w:val="24"/>
        </w:rPr>
        <w:t>ка</w:t>
      </w:r>
      <w:r w:rsidR="00667641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использования бюджетных ассигнований резервного фонда 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Администрации</w:t>
      </w:r>
      <w:proofErr w:type="gram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области»</w:t>
      </w:r>
    </w:p>
    <w:p w:rsidR="007F02B3" w:rsidRPr="00292021" w:rsidRDefault="007F02B3" w:rsidP="00292021">
      <w:pPr>
        <w:pStyle w:val="3"/>
        <w:spacing w:after="0"/>
        <w:ind w:left="0" w:firstLine="709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7F02B3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В соответствии со </w:t>
      </w:r>
      <w:hyperlink r:id="rId9" w:history="1">
        <w:r w:rsidRPr="00292021">
          <w:rPr>
            <w:rFonts w:ascii="Arial" w:hAnsi="Arial" w:cs="Arial"/>
            <w:color w:val="0D0D0D" w:themeColor="text1" w:themeTint="F2"/>
            <w:sz w:val="24"/>
            <w:szCs w:val="24"/>
          </w:rPr>
          <w:t>статьей 81</w:t>
        </w:r>
      </w:hyperlink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Бюджетного кодекса Российской Федерации</w:t>
      </w:r>
      <w:r w:rsidR="00A26EA1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,  Устава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iCs/>
          <w:color w:val="0D0D0D" w:themeColor="text1" w:themeTint="F2"/>
          <w:sz w:val="24"/>
          <w:szCs w:val="24"/>
        </w:rPr>
        <w:t>постановляет:</w:t>
      </w:r>
    </w:p>
    <w:p w:rsidR="007F02B3" w:rsidRPr="00292021" w:rsidRDefault="007F02B3" w:rsidP="00292021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i/>
          <w:color w:val="0D0D0D" w:themeColor="text1" w:themeTint="F2"/>
          <w:sz w:val="24"/>
          <w:szCs w:val="24"/>
          <w:u w:val="single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Утвердить </w:t>
      </w:r>
      <w:r w:rsidR="00225281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bookmarkStart w:id="1" w:name="_Hlk152075384"/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bookmarkEnd w:id="1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Ольховского муниципального района Волгоградской област</w:t>
      </w:r>
      <w:r w:rsidR="00771ABE">
        <w:rPr>
          <w:rFonts w:ascii="Arial" w:hAnsi="Arial" w:cs="Arial"/>
          <w:color w:val="0D0D0D" w:themeColor="text1" w:themeTint="F2"/>
          <w:sz w:val="24"/>
          <w:szCs w:val="24"/>
        </w:rPr>
        <w:t>и.</w:t>
      </w:r>
    </w:p>
    <w:p w:rsidR="00C17653" w:rsidRPr="00292021" w:rsidRDefault="00C17653" w:rsidP="00292021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Признать утратившим силу постановление №50 от 05.12.2023</w:t>
      </w:r>
    </w:p>
    <w:p w:rsidR="00121257" w:rsidRPr="00292021" w:rsidRDefault="00C17653" w:rsidP="00292021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121257" w:rsidRPr="00292021">
        <w:rPr>
          <w:rFonts w:ascii="Arial" w:hAnsi="Arial" w:cs="Arial"/>
          <w:color w:val="0D0D0D" w:themeColor="text1" w:themeTint="F2"/>
          <w:sz w:val="24"/>
          <w:szCs w:val="24"/>
        </w:rPr>
        <w:t>. </w:t>
      </w:r>
      <w:r w:rsidR="003F77B2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Настоящее решение вступает в силу 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с 01 января202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292021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121257" w:rsidRPr="00292021" w:rsidRDefault="00121257" w:rsidP="002920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21257" w:rsidRPr="00292021" w:rsidRDefault="00121257" w:rsidP="002920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Глава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А.З.Иванищенко</w:t>
      </w:r>
      <w:proofErr w:type="spellEnd"/>
    </w:p>
    <w:p w:rsidR="00121257" w:rsidRPr="00292021" w:rsidRDefault="00121257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F33B5C" w:rsidRPr="00292021" w:rsidRDefault="00F33B5C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trike/>
          <w:color w:val="0D0D0D" w:themeColor="text1" w:themeTint="F2"/>
          <w:sz w:val="24"/>
          <w:szCs w:val="24"/>
        </w:rPr>
      </w:pPr>
    </w:p>
    <w:p w:rsidR="00A26EA1" w:rsidRPr="00292021" w:rsidRDefault="00A26EA1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F77B2" w:rsidRPr="00292021" w:rsidRDefault="003F77B2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F77B2" w:rsidRPr="00292021" w:rsidRDefault="003F77B2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92021" w:rsidRDefault="00292021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92021" w:rsidRPr="00292021" w:rsidRDefault="00292021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26EA1" w:rsidRPr="00292021" w:rsidRDefault="00E02618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Утвержден</w:t>
      </w:r>
    </w:p>
    <w:p w:rsidR="007F02B3" w:rsidRPr="00292021" w:rsidRDefault="007F02B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постановлением </w:t>
      </w: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</w:p>
    <w:p w:rsidR="00C1765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C17653" w:rsidP="00292021">
      <w:pPr>
        <w:widowControl w:val="0"/>
        <w:autoSpaceDE w:val="0"/>
        <w:spacing w:after="0" w:line="240" w:lineRule="auto"/>
        <w:ind w:left="5245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>от «___»__________ 20__ г. №_____</w:t>
      </w:r>
    </w:p>
    <w:p w:rsidR="007F02B3" w:rsidRPr="00292021" w:rsidRDefault="007F02B3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5A88" w:rsidRPr="00292021" w:rsidRDefault="00815A88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5A88" w:rsidRPr="00292021" w:rsidRDefault="00815A88" w:rsidP="00292021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21257" w:rsidRPr="00292021" w:rsidRDefault="00E02618" w:rsidP="00292021">
      <w:pPr>
        <w:spacing w:after="0" w:line="240" w:lineRule="auto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</w:p>
    <w:p w:rsidR="007F02B3" w:rsidRPr="00292021" w:rsidRDefault="00121257" w:rsidP="00292021">
      <w:pPr>
        <w:spacing w:after="0" w:line="240" w:lineRule="auto"/>
        <w:ind w:firstLine="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использования бюджетных ассигнований резервного фонда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Администрации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="007F02B3" w:rsidRPr="00292021">
        <w:rPr>
          <w:rFonts w:ascii="Arial" w:hAnsi="Arial" w:cs="Arial"/>
          <w:color w:val="0D0D0D" w:themeColor="text1" w:themeTint="F2"/>
          <w:sz w:val="24"/>
          <w:szCs w:val="24"/>
        </w:rPr>
        <w:t>)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1.Общие положения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F02B3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1.1. 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Резервный фонд 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  <w:r w:rsidR="00A26EA1" w:rsidRPr="00292021">
        <w:rPr>
          <w:rFonts w:ascii="Arial" w:hAnsi="Arial" w:cs="Arial"/>
          <w:i/>
          <w:color w:val="0D0D0D" w:themeColor="text1" w:themeTint="F2"/>
          <w:sz w:val="24"/>
          <w:szCs w:val="24"/>
          <w:u w:val="single"/>
        </w:rPr>
        <w:t>.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7F02B3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1.2. 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Размер резервного фонда </w:t>
      </w:r>
      <w:proofErr w:type="gramStart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определяется при формировании бюд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жета 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 устанавливается решением о бюджете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соответствующий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финансовый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годи</w:t>
      </w:r>
      <w:proofErr w:type="gramEnd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плановый период.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proofErr w:type="spellStart"/>
      <w:r w:rsidR="002C67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2C67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отдельной строкой.</w:t>
      </w:r>
    </w:p>
    <w:p w:rsidR="00B2384B" w:rsidRPr="00292021" w:rsidRDefault="00B2384B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E31656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2. </w:t>
      </w:r>
      <w:r w:rsidR="00E026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97DF2" w:rsidRPr="00292021" w:rsidRDefault="00797DF2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2.1. 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Средства резервн</w:t>
      </w:r>
      <w:r w:rsidR="00257FD4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ого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фонд</w:t>
      </w:r>
      <w:r w:rsidR="00257FD4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направляются</w:t>
      </w:r>
      <w:r w:rsidR="00257FD4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 финансовое обеспечение</w:t>
      </w:r>
      <w:r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:</w:t>
      </w:r>
    </w:p>
    <w:p w:rsidR="00797DF2" w:rsidRPr="00292021" w:rsidRDefault="007D4711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  <w:shd w:val="clear" w:color="auto" w:fill="FFFFFF"/>
        </w:rPr>
        <w:footnoteReference w:id="1"/>
      </w:r>
      <w:r w:rsidR="00A26EA1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2.1.1</w:t>
      </w:r>
      <w:r w:rsidR="00797DF2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)</w:t>
      </w:r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proofErr w:type="gramEnd"/>
      <w:r w:rsidR="00797DF2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: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в)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развертывание и содержание в течение необходимого срока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для граждан (из расчета за временное размещение - до ____ </w:t>
      </w:r>
      <w:r w:rsidRPr="00292021">
        <w:rPr>
          <w:rStyle w:val="a5"/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footnoteReference w:id="2"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</w:t>
      </w:r>
      <w:r w:rsidR="008C1B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 человека в сутки, за питание - до 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сутки);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г)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размере _________</w:t>
      </w:r>
      <w:r w:rsidR="0027556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7556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="0027556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 стихийных бедствий;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_______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рублей на человека, за полностью утраченное имущество первой необходимости - ______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человека).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себя:</w:t>
      </w:r>
      <w:r w:rsidRPr="00292021">
        <w:rPr>
          <w:rStyle w:val="a5"/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footnoteReference w:id="3"/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мебели для сна - кровать (диван);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ж) выплату единовременного пособия:</w:t>
      </w:r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______ </w:t>
      </w:r>
      <w:r w:rsidR="00AD058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  <w:proofErr w:type="gramEnd"/>
    </w:p>
    <w:p w:rsidR="00A26EA1" w:rsidRPr="00292021" w:rsidRDefault="00A26EA1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в </w:t>
      </w:r>
      <w:r w:rsidR="009E5A5B"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размере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рублей на человека, легкий вред - _______ 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рублей на человека);</w:t>
      </w:r>
    </w:p>
    <w:p w:rsidR="00A26EA1" w:rsidRPr="00292021" w:rsidRDefault="009E5A5B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2.1.2</w:t>
      </w:r>
      <w:r w:rsidR="00A26EA1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)_______________________</w:t>
      </w:r>
      <w:r w:rsidR="00102F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15A88" w:rsidRPr="00292021" w:rsidRDefault="006C4102" w:rsidP="00292021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</w:t>
      </w: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F1192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Выделение бюджетных ассигнований из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"г" подпункта </w:t>
      </w:r>
      <w:r w:rsidR="00073739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осуществляется</w:t>
      </w:r>
      <w:r w:rsidR="0023535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5F11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Выделение бюджетных ассигнований из резервного фонда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подпунктом "</w:t>
      </w:r>
      <w:r w:rsidR="002F6E0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="0073434E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" подпункта </w:t>
      </w:r>
      <w:r w:rsidR="0073434E" w:rsidRPr="0029202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2.1.1 пункта 2.1 настоящего Порядка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осуществляется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92021" w:rsidRDefault="0073434E" w:rsidP="0029202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4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.</w:t>
      </w:r>
      <w:r w:rsidR="00630DF8"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val="en-US"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–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приведение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результате </w:t>
      </w:r>
      <w:proofErr w:type="gramStart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292021" w:rsidRDefault="005F1192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–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приведение</w:t>
      </w:r>
      <w:r w:rsidR="00630DF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292021" w:rsidRDefault="003F42A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 </w:t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Выделение бюджетных ассигнований из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 </w:t>
      </w:r>
      <w:r w:rsidR="008816F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финансовое</w:t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обеспечение мероприятий, </w:t>
      </w:r>
      <w:r w:rsidR="005A1E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предусмотренных</w:t>
      </w:r>
      <w:r w:rsidR="0080735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CE476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(Администрации </w:t>
      </w:r>
      <w:proofErr w:type="spellStart"/>
      <w:r w:rsidR="00CE476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E476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области)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осуществляющих </w:t>
      </w:r>
      <w:r w:rsidR="005A1EF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финансовое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292021" w:rsidRDefault="003F42A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E826B5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3B5C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 допускается.</w:t>
      </w: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D0589" w:rsidRPr="00292021" w:rsidRDefault="00AD0589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E5A5B" w:rsidRPr="00292021" w:rsidRDefault="000307F6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3. </w:t>
      </w:r>
      <w:r w:rsidR="00E026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Порядок принятия решения о выделении</w:t>
      </w:r>
    </w:p>
    <w:p w:rsidR="007F02B3" w:rsidRPr="00292021" w:rsidRDefault="00E02618" w:rsidP="0029202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из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</w:t>
      </w:r>
    </w:p>
    <w:p w:rsidR="00815A88" w:rsidRPr="00292021" w:rsidRDefault="00815A88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3.1. Решение </w:t>
      </w:r>
      <w:r w:rsidR="00E0261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 выделении бюджетных ассигнований из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резервного фонда принимается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ей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="009E5A5B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форме постановления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выделении </w:t>
      </w:r>
      <w:r w:rsidR="0042380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бюджетных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ассигнований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bookmarkStart w:id="2" w:name="Par7"/>
      <w:bookmarkEnd w:id="2"/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3.2. К проекту постановления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Администряция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выделении </w:t>
      </w:r>
      <w:r w:rsidR="00717C9C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бюджетных ассигнований резервного фонда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резервного фонда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средств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(смета расходов, проектная документация, расчеты, счета, акты сверок, договоры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соглашения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экспертные заключения и 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иные документы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размер запрашиваемых </w:t>
      </w:r>
      <w:r w:rsidR="00565D2F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цели расходования </w:t>
      </w:r>
      <w:r w:rsidR="00565D2F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816334" w:rsidRPr="00292021">
        <w:rPr>
          <w:rFonts w:ascii="Arial" w:eastAsia="Times New Roman" w:hAnsi="Arial" w:cs="Arial"/>
          <w:strike/>
          <w:color w:val="0D0D0D" w:themeColor="text1" w:themeTint="F2"/>
          <w:sz w:val="24"/>
          <w:szCs w:val="24"/>
          <w:lang w:eastAsia="ru-RU"/>
        </w:rPr>
        <w:t xml:space="preserve"> </w:t>
      </w:r>
      <w:r w:rsidR="00816334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органов местного самоуправления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мотивированное обоснование </w:t>
      </w:r>
      <w:r w:rsidR="0042380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выделения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="0042380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фонда.   </w:t>
      </w:r>
    </w:p>
    <w:p w:rsidR="009E5A5B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3.3 Ходатайство о выделении </w:t>
      </w:r>
      <w:r w:rsidR="001C78F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 направляется главе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proofErr w:type="gram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E5A5B" w:rsidRPr="0029202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Порядка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pacing w:val="-4"/>
          <w:sz w:val="24"/>
          <w:szCs w:val="24"/>
          <w:lang w:eastAsia="ru-RU"/>
        </w:rPr>
        <w:t>3.4.</w:t>
      </w:r>
      <w:r w:rsidR="00717C9C" w:rsidRPr="00292021">
        <w:rPr>
          <w:rFonts w:ascii="Arial" w:eastAsia="Times New Roman" w:hAnsi="Arial" w:cs="Arial"/>
          <w:color w:val="0D0D0D" w:themeColor="text1" w:themeTint="F2"/>
          <w:spacing w:val="-4"/>
          <w:sz w:val="24"/>
          <w:szCs w:val="24"/>
          <w:lang w:eastAsia="ru-RU"/>
        </w:rPr>
        <w:t> </w:t>
      </w:r>
      <w:r w:rsidRPr="00292021">
        <w:rPr>
          <w:rFonts w:ascii="Arial" w:eastAsia="Times New Roman" w:hAnsi="Arial" w:cs="Arial"/>
          <w:color w:val="0D0D0D" w:themeColor="text1" w:themeTint="F2"/>
          <w:spacing w:val="-4"/>
          <w:sz w:val="24"/>
          <w:szCs w:val="24"/>
          <w:lang w:eastAsia="ru-RU"/>
        </w:rPr>
        <w:t xml:space="preserve">Глава </w:t>
      </w:r>
      <w:r w:rsid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направляет поступившие документы на рассмотрение в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Ольховского муниципального района Волгоградской области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 приложенными к нему документами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ция  Ольховского муниципального района Волгоградской области</w:t>
      </w:r>
      <w:r w:rsidR="00F33B5C"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t>5</w:t>
      </w:r>
      <w:r w:rsidRPr="00292021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E3165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</w:p>
    <w:p w:rsidR="009E5A5B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 на цели, указанные в ходатайстве, составляет ___ рабочих дней со дня поступления документов в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17653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 главы</w:t>
      </w: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bookmarkStart w:id="3" w:name="_Hlk152749259"/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ция Ольховского муниципального района Волгоградской области</w:t>
      </w:r>
      <w:proofErr w:type="gram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33B5C" w:rsidRPr="0029202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bookmarkEnd w:id="3"/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случае положительного заключения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ция Ольховского муниципального района Волгоградской области</w:t>
      </w:r>
      <w:proofErr w:type="gramStart"/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.</w:t>
      </w:r>
      <w:proofErr w:type="gramEnd"/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33B5C"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t>5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готовит проект постановления о выделении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случае отрицательного заключения 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ция </w:t>
      </w:r>
      <w:proofErr w:type="spellStart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footnoteReference w:id="4"/>
      </w:r>
      <w:r w:rsidRPr="00292021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готовит проект письма главы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Администраци</w:t>
      </w:r>
      <w:r w:rsidR="00FE0C78" w:rsidRP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Письмо направляется главой 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Адми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области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лицу, обратившемуся с ходатайством.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бюджетные ассигнования 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фонда, полномочиям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ци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муниципального района Волгоградской 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области </w:t>
      </w:r>
      <w:r w:rsidR="00A66C80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и (или) </w:t>
      </w:r>
      <w:r w:rsidR="006F742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мероприятиям, предусмотренным</w:t>
      </w:r>
      <w:r w:rsidR="0096009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br/>
      </w:r>
      <w:r w:rsidR="006F7426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пункте 2.1 настоящего Порядка;</w:t>
      </w:r>
    </w:p>
    <w:p w:rsidR="007F02B3" w:rsidRPr="00292021" w:rsidRDefault="007F02B3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292021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ru-RU"/>
          </w:rPr>
          <w:t>пункте 3.2</w:t>
        </w:r>
      </w:hyperlink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настоящего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Порядка</w:t>
      </w: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4C5540" w:rsidRPr="00292021" w:rsidRDefault="004C5540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9E5A5B" w:rsidRPr="00292021" w:rsidRDefault="000307F6" w:rsidP="002920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717C9C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Контроль за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использованием </w:t>
      </w:r>
      <w:proofErr w:type="gramStart"/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бюджетных</w:t>
      </w:r>
      <w:proofErr w:type="gramEnd"/>
    </w:p>
    <w:p w:rsidR="007F02B3" w:rsidRPr="00292021" w:rsidRDefault="000476E8" w:rsidP="002920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ассигнований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</w:t>
      </w:r>
    </w:p>
    <w:p w:rsidR="004C5540" w:rsidRPr="00292021" w:rsidRDefault="004C5540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7F02B3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4.1. </w:t>
      </w:r>
      <w:proofErr w:type="gramStart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0476E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 осуществляется 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</w:t>
      </w:r>
      <w:r w:rsidR="00FE0C78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ей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="00313478" w:rsidRPr="0029202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7F02B3" w:rsidRPr="00292021">
        <w:rPr>
          <w:rStyle w:val="a5"/>
          <w:rFonts w:ascii="Arial" w:hAnsi="Arial" w:cs="Arial"/>
          <w:b/>
          <w:color w:val="0D0D0D" w:themeColor="text1" w:themeTint="F2"/>
          <w:sz w:val="24"/>
          <w:szCs w:val="24"/>
        </w:rPr>
        <w:footnoteReference w:id="5"/>
      </w:r>
    </w:p>
    <w:p w:rsidR="00A66C80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4.2. 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календарного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года. </w:t>
      </w:r>
    </w:p>
    <w:p w:rsidR="007F02B3" w:rsidRPr="00292021" w:rsidRDefault="000476E8" w:rsidP="002920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292021" w:rsidRDefault="00023997" w:rsidP="00771AB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4.3. </w:t>
      </w:r>
      <w:proofErr w:type="gramStart"/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Главные распорядители, распорядите</w:t>
      </w:r>
      <w:r w:rsidR="00771AB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 и получатели средств бюджета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A66C80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которым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71AB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выделяются </w:t>
      </w:r>
      <w:bookmarkStart w:id="4" w:name="_GoBack"/>
      <w:bookmarkEnd w:id="4"/>
      <w:r w:rsidR="00061AA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бюджетн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ые</w:t>
      </w:r>
      <w:r w:rsidR="00061AA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ассигновани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я</w:t>
      </w:r>
      <w:r w:rsidR="00061AA9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резервного фонда, представляют в </w:t>
      </w:r>
      <w:r w:rsid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</w:t>
      </w:r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ция </w:t>
      </w:r>
      <w:proofErr w:type="spellStart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Гусевского</w:t>
      </w:r>
      <w:proofErr w:type="spellEnd"/>
      <w:r w:rsidR="00C1765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отчет о целевом использовании 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бюджетных ассигнований </w:t>
      </w:r>
      <w:r w:rsidR="007F02B3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резервного фонда.</w:t>
      </w:r>
      <w:proofErr w:type="gramEnd"/>
    </w:p>
    <w:p w:rsidR="002A6E72" w:rsidRPr="00292021" w:rsidRDefault="00023997" w:rsidP="00292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4.4. </w:t>
      </w:r>
      <w:r w:rsidR="002A6E72" w:rsidRPr="00292021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292021">
        <w:rPr>
          <w:rFonts w:ascii="Arial" w:hAnsi="Arial" w:cs="Arial"/>
          <w:color w:val="0D0D0D" w:themeColor="text1" w:themeTint="F2"/>
          <w:sz w:val="24"/>
          <w:szCs w:val="24"/>
        </w:rPr>
        <w:t>Администра</w:t>
      </w:r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ция </w:t>
      </w:r>
      <w:proofErr w:type="spellStart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="00CE4764" w:rsidRPr="00292021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Ольховского м</w:t>
      </w:r>
      <w:r w:rsidR="00CE4764" w:rsidRPr="00292021">
        <w:rPr>
          <w:rFonts w:ascii="Arial" w:hAnsi="Arial" w:cs="Arial"/>
          <w:sz w:val="24"/>
          <w:szCs w:val="24"/>
        </w:rPr>
        <w:t>униципального района Волгоградской области</w:t>
      </w:r>
      <w:proofErr w:type="gramStart"/>
      <w:r w:rsidR="00CE4764" w:rsidRPr="00292021">
        <w:rPr>
          <w:rFonts w:ascii="Arial" w:hAnsi="Arial" w:cs="Arial"/>
          <w:sz w:val="24"/>
          <w:szCs w:val="24"/>
        </w:rPr>
        <w:t xml:space="preserve"> </w:t>
      </w:r>
      <w:r w:rsidR="00F33B5C" w:rsidRPr="00292021">
        <w:rPr>
          <w:rFonts w:ascii="Arial" w:hAnsi="Arial" w:cs="Arial"/>
          <w:sz w:val="24"/>
          <w:szCs w:val="24"/>
        </w:rPr>
        <w:t>.</w:t>
      </w:r>
      <w:proofErr w:type="gramEnd"/>
    </w:p>
    <w:sectPr w:rsidR="002A6E72" w:rsidRPr="00292021" w:rsidSect="00C56AB9">
      <w:headerReference w:type="even" r:id="rId10"/>
      <w:headerReference w:type="default" r:id="rId11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18" w:rsidRDefault="00C93918">
      <w:r>
        <w:separator/>
      </w:r>
    </w:p>
  </w:endnote>
  <w:endnote w:type="continuationSeparator" w:id="0">
    <w:p w:rsidR="00C93918" w:rsidRDefault="00C9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18" w:rsidRDefault="00C93918">
      <w:r>
        <w:separator/>
      </w:r>
    </w:p>
  </w:footnote>
  <w:footnote w:type="continuationSeparator" w:id="0">
    <w:p w:rsidR="00C93918" w:rsidRDefault="00C93918">
      <w:r>
        <w:continuationSeparator/>
      </w:r>
    </w:p>
  </w:footnote>
  <w:footnote w:id="1">
    <w:p w:rsidR="007D4711" w:rsidRPr="00102F18" w:rsidRDefault="007D4711" w:rsidP="00960092">
      <w:pPr>
        <w:pStyle w:val="a3"/>
        <w:spacing w:after="0" w:line="240" w:lineRule="auto"/>
      </w:pPr>
      <w:r w:rsidRPr="00102F18">
        <w:rPr>
          <w:rStyle w:val="a5"/>
          <w:b/>
          <w:color w:val="FF0000"/>
        </w:rPr>
        <w:footnoteRef/>
      </w:r>
      <w:r w:rsidRPr="00102F18">
        <w:rPr>
          <w:color w:val="FF0000"/>
        </w:rPr>
        <w:t xml:space="preserve"> Перечень является примерным и может быть изменен органом местного </w:t>
      </w:r>
      <w:r w:rsidRPr="007D2FDC">
        <w:rPr>
          <w:color w:val="FF0000"/>
        </w:rPr>
        <w:t>самоуправления</w:t>
      </w:r>
      <w:r w:rsidR="00960092">
        <w:rPr>
          <w:color w:val="FF0000"/>
        </w:rPr>
        <w:br/>
      </w:r>
      <w:r w:rsidRPr="007D2FDC">
        <w:rPr>
          <w:color w:val="FF0000"/>
        </w:rPr>
        <w:t>с учетом соблюдения положений части 4 статьи 81 Бюджетного кодекса Российской Федерации</w:t>
      </w:r>
      <w:r w:rsidR="00960092">
        <w:rPr>
          <w:color w:val="FF0000"/>
        </w:rPr>
        <w:t xml:space="preserve">. </w:t>
      </w:r>
      <w:r>
        <w:rPr>
          <w:color w:val="FF0000"/>
        </w:rPr>
        <w:t xml:space="preserve"> </w:t>
      </w:r>
      <w:r w:rsidRPr="00102F18">
        <w:rPr>
          <w:color w:val="FF0000"/>
        </w:rPr>
        <w:t>Обращае</w:t>
      </w:r>
      <w:r w:rsidR="00A2188F" w:rsidRPr="00A2188F">
        <w:rPr>
          <w:color w:val="FF0000"/>
        </w:rPr>
        <w:t>м</w:t>
      </w:r>
      <w:r w:rsidRPr="00102F18">
        <w:rPr>
          <w:color w:val="FF0000"/>
        </w:rPr>
        <w:t xml:space="preserve"> внимание, что данный перечень должен быть закрытым.</w:t>
      </w:r>
    </w:p>
  </w:footnote>
  <w:footnote w:id="2">
    <w:p w:rsidR="00A26EA1" w:rsidRPr="00566932" w:rsidRDefault="00A26EA1" w:rsidP="00102F18">
      <w:pPr>
        <w:pStyle w:val="a3"/>
        <w:spacing w:after="0" w:line="240" w:lineRule="auto"/>
        <w:rPr>
          <w:color w:val="FF0000"/>
        </w:rPr>
      </w:pPr>
      <w:r w:rsidRPr="00566932">
        <w:rPr>
          <w:rStyle w:val="a5"/>
          <w:color w:val="FF0000"/>
        </w:rPr>
        <w:footnoteRef/>
      </w:r>
      <w:r w:rsidRPr="00566932">
        <w:rPr>
          <w:color w:val="FF0000"/>
        </w:rPr>
        <w:t xml:space="preserve"> </w:t>
      </w:r>
      <w:r w:rsidRPr="006A5F7B">
        <w:rPr>
          <w:color w:val="FF0000"/>
        </w:rPr>
        <w:t xml:space="preserve">Органы местного самоуправления самостоятельно определяют </w:t>
      </w:r>
      <w:r>
        <w:rPr>
          <w:color w:val="FF0000"/>
        </w:rPr>
        <w:t>размер денежной суммы.</w:t>
      </w:r>
    </w:p>
  </w:footnote>
  <w:footnote w:id="3">
    <w:p w:rsidR="00A26EA1" w:rsidRPr="00A2188F" w:rsidRDefault="00A26EA1" w:rsidP="00102F18">
      <w:pPr>
        <w:pStyle w:val="a3"/>
        <w:spacing w:after="0" w:line="240" w:lineRule="auto"/>
        <w:rPr>
          <w:bCs/>
        </w:rPr>
      </w:pPr>
      <w:r w:rsidRPr="00E31656">
        <w:rPr>
          <w:rStyle w:val="a5"/>
          <w:b/>
          <w:color w:val="FF0000"/>
        </w:rPr>
        <w:footnoteRef/>
      </w:r>
      <w:r w:rsidRPr="00E31656">
        <w:rPr>
          <w:color w:val="FF0000"/>
        </w:rPr>
        <w:t xml:space="preserve"> Перечень</w:t>
      </w:r>
      <w:r w:rsidR="00A2188F">
        <w:rPr>
          <w:color w:val="FF0000"/>
        </w:rPr>
        <w:t xml:space="preserve"> является </w:t>
      </w:r>
      <w:r w:rsidR="00A2188F" w:rsidRPr="00B84216">
        <w:rPr>
          <w:color w:val="FF0000"/>
        </w:rPr>
        <w:t>примерным</w:t>
      </w:r>
      <w:r w:rsidR="00960092">
        <w:rPr>
          <w:color w:val="FF0000"/>
        </w:rPr>
        <w:t xml:space="preserve"> </w:t>
      </w:r>
      <w:r w:rsidRPr="00A2188F">
        <w:rPr>
          <w:bCs/>
          <w:color w:val="FF0000"/>
        </w:rPr>
        <w:t xml:space="preserve">и может быть изменен органом местного самоуправления самостоятельно.  </w:t>
      </w:r>
    </w:p>
  </w:footnote>
  <w:footnote w:id="4">
    <w:p w:rsidR="00A26EA1" w:rsidRPr="00061AA9" w:rsidRDefault="00A26EA1" w:rsidP="00061AA9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113CE">
        <w:rPr>
          <w:rStyle w:val="a5"/>
          <w:color w:val="FF0000"/>
          <w:sz w:val="20"/>
          <w:szCs w:val="20"/>
        </w:rPr>
        <w:footnoteRef/>
      </w:r>
      <w:r w:rsidRPr="001113CE">
        <w:rPr>
          <w:sz w:val="20"/>
          <w:szCs w:val="20"/>
        </w:rPr>
        <w:t xml:space="preserve"> </w:t>
      </w:r>
      <w:r w:rsidRPr="001113CE">
        <w:rPr>
          <w:color w:val="FF0000"/>
          <w:sz w:val="20"/>
          <w:szCs w:val="20"/>
        </w:rPr>
        <w:t>Данные полномочия могут быть возложены на структурные подразделения органов местного самоуправления, при условии, что в соответствии с Законом Волгоградской области от 11.02.2008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1113CE">
        <w:rPr>
          <w:color w:val="FF0000"/>
          <w:sz w:val="20"/>
          <w:szCs w:val="20"/>
        </w:rPr>
        <w:t>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5">
    <w:p w:rsidR="00A26EA1" w:rsidRPr="001113CE" w:rsidRDefault="00A26EA1" w:rsidP="000307F6">
      <w:pPr>
        <w:pStyle w:val="a3"/>
        <w:spacing w:after="0" w:line="240" w:lineRule="auto"/>
      </w:pPr>
      <w:r w:rsidRPr="001113CE">
        <w:rPr>
          <w:rStyle w:val="a5"/>
          <w:color w:val="FF0000"/>
        </w:rPr>
        <w:footnoteRef/>
      </w:r>
      <w:r w:rsidR="00AD0589">
        <w:rPr>
          <w:color w:val="FF0000"/>
        </w:rPr>
        <w:t> </w:t>
      </w:r>
      <w:r w:rsidRPr="001113CE">
        <w:rPr>
          <w:color w:val="FF0000"/>
        </w:rPr>
        <w:t xml:space="preserve">Данные полномочия </w:t>
      </w:r>
      <w:r w:rsidR="00AD0589">
        <w:rPr>
          <w:color w:val="FF0000"/>
        </w:rPr>
        <w:t xml:space="preserve">также </w:t>
      </w:r>
      <w:r w:rsidRPr="001113CE">
        <w:rPr>
          <w:color w:val="FF0000"/>
        </w:rPr>
        <w:t xml:space="preserve">могут быть возложены </w:t>
      </w:r>
      <w:r w:rsidR="00AD0589" w:rsidRPr="00AD0589">
        <w:rPr>
          <w:color w:val="FF0000"/>
        </w:rPr>
        <w:t>на</w:t>
      </w:r>
      <w:r w:rsidR="00AD0589">
        <w:rPr>
          <w:color w:val="FF0000"/>
        </w:rPr>
        <w:t xml:space="preserve"> </w:t>
      </w:r>
      <w:r w:rsidRPr="001113CE">
        <w:rPr>
          <w:color w:val="FF0000"/>
        </w:rPr>
        <w:t>контрольно-счетный орган</w:t>
      </w:r>
      <w:r w:rsidR="00AD0589">
        <w:rPr>
          <w:color w:val="FF0000"/>
        </w:rPr>
        <w:t xml:space="preserve"> муниципального образован</w:t>
      </w:r>
      <w:r w:rsidR="00C914BA">
        <w:rPr>
          <w:color w:val="FF0000"/>
        </w:rPr>
        <w:t>ия</w:t>
      </w:r>
      <w:r w:rsidRPr="001113CE">
        <w:rPr>
          <w:color w:val="FF0000"/>
        </w:rPr>
        <w:t xml:space="preserve"> при условии, что в соответствии с Законом Волгоградской области</w:t>
      </w:r>
      <w:r w:rsidR="00AD0589">
        <w:rPr>
          <w:color w:val="FF0000"/>
        </w:rPr>
        <w:br/>
      </w:r>
      <w:r w:rsidRPr="001113CE">
        <w:rPr>
          <w:color w:val="FF0000"/>
        </w:rPr>
        <w:t>от 11.02.2008 № 1626-ОД «О некоторых вопросах муниципальной службы</w:t>
      </w:r>
      <w:r w:rsidR="00AD0589">
        <w:rPr>
          <w:color w:val="FF0000"/>
        </w:rPr>
        <w:t xml:space="preserve"> </w:t>
      </w:r>
      <w:r w:rsidRPr="001113CE">
        <w:rPr>
          <w:color w:val="FF0000"/>
        </w:rPr>
        <w:t>в Волгоградской области»</w:t>
      </w:r>
      <w:r w:rsidR="00AD0589">
        <w:rPr>
          <w:color w:val="FF0000"/>
        </w:rPr>
        <w:br/>
      </w:r>
      <w:r w:rsidRPr="001113CE">
        <w:rPr>
          <w:color w:val="FF0000"/>
        </w:rPr>
        <w:t xml:space="preserve">и Уставом муниципального образования предусмотрено </w:t>
      </w:r>
      <w:r w:rsidR="00AD0589">
        <w:rPr>
          <w:color w:val="FF0000"/>
        </w:rPr>
        <w:t>его</w:t>
      </w:r>
      <w:r w:rsidRPr="001113CE">
        <w:rPr>
          <w:color w:val="FF0000"/>
        </w:rPr>
        <w:t xml:space="preserve"> создание.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771ABE">
      <w:rPr>
        <w:rStyle w:val="a7"/>
        <w:noProof/>
        <w:sz w:val="24"/>
        <w:szCs w:val="24"/>
      </w:rPr>
      <w:t>6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398"/>
    <w:multiLevelType w:val="hybridMultilevel"/>
    <w:tmpl w:val="75BC39E6"/>
    <w:lvl w:ilvl="0" w:tplc="CB48242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3358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92021"/>
    <w:rsid w:val="002A1624"/>
    <w:rsid w:val="002A4D7D"/>
    <w:rsid w:val="002A6E72"/>
    <w:rsid w:val="002C20AE"/>
    <w:rsid w:val="002C6753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77B2"/>
    <w:rsid w:val="00423808"/>
    <w:rsid w:val="0043602F"/>
    <w:rsid w:val="004C1B46"/>
    <w:rsid w:val="004C5540"/>
    <w:rsid w:val="004E5A1B"/>
    <w:rsid w:val="00545B39"/>
    <w:rsid w:val="00552DB1"/>
    <w:rsid w:val="00565D2F"/>
    <w:rsid w:val="00566932"/>
    <w:rsid w:val="00572EFC"/>
    <w:rsid w:val="00581466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1AB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62DE7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17653"/>
    <w:rsid w:val="00C457D0"/>
    <w:rsid w:val="00C56AB9"/>
    <w:rsid w:val="00C90FAF"/>
    <w:rsid w:val="00C914BA"/>
    <w:rsid w:val="00C93918"/>
    <w:rsid w:val="00CA52B0"/>
    <w:rsid w:val="00CE4764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84C66"/>
    <w:rsid w:val="00F978B1"/>
    <w:rsid w:val="00FA4FFD"/>
    <w:rsid w:val="00FA6261"/>
    <w:rsid w:val="00FB6080"/>
    <w:rsid w:val="00FD7E48"/>
    <w:rsid w:val="00FE08D0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2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202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2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202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B004-D633-402D-98B3-B8BE69B4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1321</Words>
  <Characters>10702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12000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Пользователь</cp:lastModifiedBy>
  <cp:revision>8</cp:revision>
  <cp:lastPrinted>2023-06-20T05:32:00Z</cp:lastPrinted>
  <dcterms:created xsi:type="dcterms:W3CDTF">2023-11-21T05:40:00Z</dcterms:created>
  <dcterms:modified xsi:type="dcterms:W3CDTF">2023-12-06T07:52:00Z</dcterms:modified>
</cp:coreProperties>
</file>