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C" w:rsidRPr="00074EAC" w:rsidRDefault="00F6197C" w:rsidP="00F6197C">
      <w:pPr>
        <w:ind w:firstLine="709"/>
        <w:jc w:val="center"/>
        <w:rPr>
          <w:sz w:val="20"/>
          <w:szCs w:val="20"/>
        </w:rPr>
      </w:pPr>
      <w:r w:rsidRPr="00074EAC">
        <w:rPr>
          <w:sz w:val="20"/>
          <w:szCs w:val="20"/>
        </w:rPr>
        <w:t>СОВЕТ НАРОДНЫХ ДЕПУТАТОВ</w:t>
      </w:r>
    </w:p>
    <w:p w:rsidR="00F6197C" w:rsidRPr="00074EAC" w:rsidRDefault="00F6197C" w:rsidP="00F6197C">
      <w:pPr>
        <w:ind w:firstLine="709"/>
        <w:jc w:val="center"/>
        <w:rPr>
          <w:sz w:val="20"/>
          <w:szCs w:val="20"/>
        </w:rPr>
      </w:pPr>
      <w:r w:rsidRPr="00074EAC">
        <w:rPr>
          <w:sz w:val="20"/>
          <w:szCs w:val="20"/>
        </w:rPr>
        <w:t>СЕМИДЕСЯТСКОГО  СЕЛЬСКОГО ПОСЕЛЕНИЯ</w:t>
      </w:r>
    </w:p>
    <w:p w:rsidR="00F6197C" w:rsidRPr="00074EAC" w:rsidRDefault="00F6197C" w:rsidP="00F6197C">
      <w:pPr>
        <w:ind w:firstLine="709"/>
        <w:jc w:val="center"/>
        <w:rPr>
          <w:sz w:val="20"/>
          <w:szCs w:val="20"/>
        </w:rPr>
      </w:pPr>
      <w:r w:rsidRPr="00074EAC">
        <w:rPr>
          <w:sz w:val="20"/>
          <w:szCs w:val="20"/>
        </w:rPr>
        <w:t>ХОХОЛЬСКОГО МУНИЦИПАЛЬНОГО РАЙОНА</w:t>
      </w:r>
    </w:p>
    <w:p w:rsidR="00F6197C" w:rsidRPr="00074EAC" w:rsidRDefault="00F6197C" w:rsidP="00F6197C">
      <w:pPr>
        <w:ind w:firstLine="709"/>
        <w:jc w:val="center"/>
        <w:rPr>
          <w:sz w:val="20"/>
          <w:szCs w:val="20"/>
        </w:rPr>
      </w:pPr>
      <w:r w:rsidRPr="00074EAC">
        <w:rPr>
          <w:sz w:val="20"/>
          <w:szCs w:val="20"/>
        </w:rPr>
        <w:t>ВОРОНЕЖСКОЙ ОБЛАСТИ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       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                                                    РЕШЕНИЕ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От   03. 11.  .2017г. №   28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center"/>
        <w:rPr>
          <w:sz w:val="20"/>
          <w:szCs w:val="20"/>
        </w:rPr>
      </w:pPr>
      <w:r w:rsidRPr="00074EAC">
        <w:rPr>
          <w:sz w:val="20"/>
          <w:szCs w:val="20"/>
        </w:rPr>
        <w:t xml:space="preserve">О налоге на имущество физических лиц на территории  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сельского поселения на 2018год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proofErr w:type="gramStart"/>
      <w:r w:rsidRPr="00074EAC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4EAC">
          <w:rPr>
            <w:sz w:val="20"/>
            <w:szCs w:val="20"/>
          </w:rPr>
          <w:t>2003 г</w:t>
        </w:r>
      </w:smartTag>
      <w:r w:rsidRPr="00074EAC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Законом Воронежской области от 19 июня </w:t>
      </w:r>
      <w:smartTag w:uri="urn:schemas-microsoft-com:office:smarttags" w:element="metricconverter">
        <w:smartTagPr>
          <w:attr w:name="ProductID" w:val="2015 г"/>
        </w:smartTagPr>
        <w:r w:rsidRPr="00074EAC">
          <w:rPr>
            <w:sz w:val="20"/>
            <w:szCs w:val="20"/>
          </w:rPr>
          <w:t>2015 г</w:t>
        </w:r>
      </w:smartTag>
      <w:r w:rsidRPr="00074EAC">
        <w:rPr>
          <w:sz w:val="20"/>
          <w:szCs w:val="20"/>
        </w:rPr>
        <w:t xml:space="preserve">. N 105-ОЗ "Об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налогообложения", Уставом 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 сельского поселения</w:t>
      </w:r>
      <w:proofErr w:type="gramEnd"/>
      <w:r w:rsidRPr="00074EAC">
        <w:rPr>
          <w:sz w:val="20"/>
          <w:szCs w:val="20"/>
        </w:rPr>
        <w:t xml:space="preserve"> Совет народных депутатов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 сельского поселения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                                                             РЕШИЛ: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1. Установить на территории 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сельского поселения </w:t>
      </w:r>
      <w:proofErr w:type="gramStart"/>
      <w:r w:rsidRPr="00074EAC">
        <w:rPr>
          <w:sz w:val="20"/>
          <w:szCs w:val="20"/>
        </w:rPr>
        <w:t>налог</w:t>
      </w:r>
      <w:proofErr w:type="gramEnd"/>
      <w:r w:rsidRPr="00074EAC">
        <w:rPr>
          <w:sz w:val="20"/>
          <w:szCs w:val="20"/>
        </w:rPr>
        <w:t xml:space="preserve"> на имущество физических лиц исходя из кадастровой стоимости объектов налогообложения;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2. Утвердить ставки налога на имущество физических лиц в следующих размерах: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49"/>
        <w:gridCol w:w="1382"/>
      </w:tblGrid>
      <w:tr w:rsidR="00F6197C" w:rsidRPr="00074EAC" w:rsidTr="000C4F8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4E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E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4E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Объекты налогообложения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Ставка налога, %</w:t>
            </w:r>
          </w:p>
        </w:tc>
      </w:tr>
      <w:tr w:rsidR="00F6197C" w:rsidRPr="00074EAC" w:rsidTr="000C4F8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 жилых домов, жилых помещений (квартира, комната);</w:t>
            </w:r>
          </w:p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 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 единых недвижимых комплексов, в состав которых входит хотя бы одно жилое помещение (жилой дом);</w:t>
            </w:r>
          </w:p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 гаражей и </w:t>
            </w:r>
            <w:proofErr w:type="spellStart"/>
            <w:r w:rsidRPr="00074EAC">
              <w:rPr>
                <w:rFonts w:ascii="Times New Roman" w:hAnsi="Times New Roman"/>
                <w:sz w:val="20"/>
                <w:szCs w:val="20"/>
              </w:rPr>
              <w:t>машино-мест</w:t>
            </w:r>
            <w:proofErr w:type="spellEnd"/>
            <w:r w:rsidRPr="00074E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0,3 %</w:t>
            </w:r>
          </w:p>
        </w:tc>
      </w:tr>
      <w:tr w:rsidR="00F6197C" w:rsidRPr="00074EAC" w:rsidTr="000C4F8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Кодекса;</w:t>
            </w:r>
          </w:p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 xml:space="preserve"> -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2,0 %</w:t>
            </w:r>
          </w:p>
        </w:tc>
      </w:tr>
      <w:tr w:rsidR="00F6197C" w:rsidRPr="00074EAC" w:rsidTr="000C4F8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Прочие объекты налогообложения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4EAC">
              <w:rPr>
                <w:rFonts w:ascii="Times New Roman" w:hAnsi="Times New Roman"/>
                <w:sz w:val="20"/>
                <w:szCs w:val="20"/>
              </w:rPr>
              <w:t>0,5 %</w:t>
            </w:r>
          </w:p>
          <w:p w:rsidR="00F6197C" w:rsidRPr="00074EAC" w:rsidRDefault="00F6197C" w:rsidP="000C4F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2.1. Сумма налога исчисляется налоговыми органами на основании сведений, представленных в налоговые органы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2.2. Налог подлежит уплате налогоплательщиками, на основании налогового уведомления, направляемого налогоплательщику налоговым органом, в срок не позднее 1 декабря года, следующего за истекшим налоговым периодом.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3. Настоящее решение вступает в силу с 1 января 2018 года, но не ранее чем по истечении одного месяца со дня его официального опубликования;</w:t>
      </w:r>
      <w:r w:rsidRPr="00074EAC">
        <w:rPr>
          <w:sz w:val="20"/>
          <w:szCs w:val="20"/>
        </w:rPr>
        <w:br/>
        <w:t xml:space="preserve">4. Настоящее решение подлежит опубликованию в газете «Народное слово» и размещению на официальном сайте администрации  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сельского поселения в сети  интернет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5. Контроль исполнения настоящего решения возложить на постоянную комиссию по бюджету, налоговой и финансовой политике, местному самоуправлению, регламенту, депутатской этике Совета народных депутатов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сельского поселения.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 xml:space="preserve">Глава   </w:t>
      </w:r>
      <w:proofErr w:type="spellStart"/>
      <w:r w:rsidRPr="00074EAC">
        <w:rPr>
          <w:sz w:val="20"/>
          <w:szCs w:val="20"/>
        </w:rPr>
        <w:t>Семидесятского</w:t>
      </w:r>
      <w:proofErr w:type="spellEnd"/>
      <w:r w:rsidRPr="00074EAC">
        <w:rPr>
          <w:sz w:val="20"/>
          <w:szCs w:val="20"/>
        </w:rPr>
        <w:t xml:space="preserve">  </w:t>
      </w:r>
    </w:p>
    <w:p w:rsidR="00F6197C" w:rsidRPr="00074EAC" w:rsidRDefault="00F6197C" w:rsidP="00F6197C">
      <w:pPr>
        <w:ind w:firstLine="709"/>
        <w:jc w:val="both"/>
        <w:rPr>
          <w:sz w:val="20"/>
          <w:szCs w:val="20"/>
        </w:rPr>
      </w:pPr>
      <w:r w:rsidRPr="00074EAC">
        <w:rPr>
          <w:sz w:val="20"/>
          <w:szCs w:val="20"/>
        </w:rPr>
        <w:t>сельского поселения                                               С.Ф.  Зинченко</w:t>
      </w:r>
    </w:p>
    <w:p w:rsidR="00F6197C" w:rsidRPr="00074EAC" w:rsidRDefault="00F6197C" w:rsidP="00F6197C">
      <w:pPr>
        <w:ind w:firstLine="709"/>
        <w:rPr>
          <w:sz w:val="22"/>
          <w:szCs w:val="22"/>
        </w:rPr>
      </w:pPr>
    </w:p>
    <w:p w:rsidR="00F8267D" w:rsidRDefault="00F8267D"/>
    <w:sectPr w:rsidR="00F8267D" w:rsidSect="00F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7C"/>
    <w:rsid w:val="00F6197C"/>
    <w:rsid w:val="00F8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9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19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2017-12-04T12:59:00Z</dcterms:created>
  <dcterms:modified xsi:type="dcterms:W3CDTF">2017-12-04T12:59:00Z</dcterms:modified>
</cp:coreProperties>
</file>