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58" w:rsidRDefault="00387A58" w:rsidP="00387A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АДМИНИСТРАЦИЯ</w:t>
      </w:r>
    </w:p>
    <w:p w:rsidR="00387A58" w:rsidRDefault="00387A58" w:rsidP="00387A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387A58" w:rsidRDefault="00387A58" w:rsidP="00387A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387A58" w:rsidRDefault="00387A58" w:rsidP="00387A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387A58" w:rsidRDefault="00387A58" w:rsidP="00387A5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7A58" w:rsidRDefault="00387A58" w:rsidP="00387A5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387A58" w:rsidRDefault="00387A58" w:rsidP="00387A58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387A58" w:rsidRDefault="00387A58" w:rsidP="00387A58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«24» ноября 2016года   № 8</w:t>
      </w:r>
      <w:r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  <w:u w:val="single"/>
        </w:rPr>
        <w:t>–р</w:t>
      </w:r>
    </w:p>
    <w:p w:rsidR="00387A58" w:rsidRDefault="00387A58" w:rsidP="00387A58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387A58" w:rsidRDefault="00387A58" w:rsidP="00387A58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387A58">
        <w:rPr>
          <w:rFonts w:ascii="Times New Roman" w:hAnsi="Times New Roman"/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>
        <w:rPr>
          <w:rFonts w:ascii="Times New Roman" w:hAnsi="Times New Roman"/>
          <w:sz w:val="26"/>
          <w:szCs w:val="26"/>
        </w:rPr>
        <w:t>»</w:t>
      </w:r>
    </w:p>
    <w:p w:rsidR="00387A58" w:rsidRDefault="00387A58" w:rsidP="00387A58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87A58" w:rsidRDefault="00387A58" w:rsidP="00387A58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387A58" w:rsidRDefault="00387A58" w:rsidP="00387A58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387A58">
        <w:rPr>
          <w:rFonts w:ascii="Times New Roman" w:hAnsi="Times New Roman"/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387A58" w:rsidRDefault="00387A58" w:rsidP="00387A58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387A58" w:rsidRDefault="00387A58" w:rsidP="00387A58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Контроль за исполнением настоящего распоряжения возложить на </w:t>
      </w:r>
      <w:proofErr w:type="gramStart"/>
      <w:r>
        <w:rPr>
          <w:rFonts w:ascii="Times New Roman" w:hAnsi="Times New Roman"/>
          <w:sz w:val="26"/>
          <w:szCs w:val="26"/>
        </w:rPr>
        <w:t>главу  Сторожевского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1-го сельского поселения Острогожского муниципального района.</w:t>
      </w:r>
    </w:p>
    <w:p w:rsidR="00387A58" w:rsidRDefault="00387A58" w:rsidP="00387A58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 w:cstheme="minorBidi"/>
          <w:sz w:val="26"/>
          <w:szCs w:val="26"/>
        </w:rPr>
      </w:pPr>
    </w:p>
    <w:p w:rsidR="00387A58" w:rsidRDefault="00387A58" w:rsidP="00387A58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387A58" w:rsidRDefault="00387A58" w:rsidP="00387A58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387A58" w:rsidRDefault="00387A58" w:rsidP="00387A58">
      <w:pPr>
        <w:spacing w:after="0"/>
        <w:rPr>
          <w:rFonts w:ascii="Times New Roman" w:hAnsi="Times New Roman"/>
          <w:sz w:val="26"/>
          <w:szCs w:val="26"/>
        </w:rPr>
        <w:sectPr w:rsidR="00387A58">
          <w:pgSz w:w="11906" w:h="16838"/>
          <w:pgMar w:top="1134" w:right="851" w:bottom="851" w:left="851" w:header="709" w:footer="709" w:gutter="0"/>
          <w:cols w:space="720"/>
        </w:sectPr>
      </w:pPr>
    </w:p>
    <w:p w:rsidR="00387A58" w:rsidRDefault="00387A58" w:rsidP="00387A58">
      <w:pPr>
        <w:spacing w:after="0"/>
        <w:ind w:left="90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87A58" w:rsidRDefault="00387A58" w:rsidP="00387A58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распоряжению администрации Сторожевского 1-го сельского поселения от 24.11.2016г. № 8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-р</w:t>
      </w:r>
    </w:p>
    <w:bookmarkEnd w:id="0"/>
    <w:p w:rsidR="00577FCC" w:rsidRPr="00224CFA" w:rsidRDefault="00577FCC" w:rsidP="00577F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4CFA">
        <w:rPr>
          <w:rFonts w:ascii="Times New Roman" w:eastAsiaTheme="minorHAnsi" w:hAnsi="Times New Roman"/>
          <w:b/>
          <w:sz w:val="28"/>
          <w:szCs w:val="28"/>
          <w:lang w:eastAsia="en-US"/>
        </w:rPr>
        <w:t>ТЕХНОЛОГИЧЕСКАЯ СХЕМА</w:t>
      </w:r>
    </w:p>
    <w:p w:rsidR="00577FCC" w:rsidRPr="00224CFA" w:rsidRDefault="00577FCC" w:rsidP="00577F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4CFA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224CFA" w:rsidRPr="00224CFA" w:rsidRDefault="00224CFA" w:rsidP="00577F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4CFA">
        <w:rPr>
          <w:rFonts w:ascii="Times New Roman" w:hAnsi="Times New Roman"/>
          <w:b/>
          <w:sz w:val="28"/>
          <w:szCs w:val="28"/>
        </w:rPr>
        <w:t>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</w:p>
    <w:p w:rsidR="00577FCC" w:rsidRPr="00577FCC" w:rsidRDefault="00577FCC" w:rsidP="00577FCC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7FCC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77FCC" w:rsidRPr="00577FCC" w:rsidTr="00577FCC">
        <w:tc>
          <w:tcPr>
            <w:tcW w:w="959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77FCC" w:rsidRPr="00577FCC" w:rsidTr="00577FCC">
        <w:tc>
          <w:tcPr>
            <w:tcW w:w="959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3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56B83" w:rsidRPr="00885834" w:rsidRDefault="00B56B83" w:rsidP="00B56B83">
            <w:pPr>
              <w:spacing w:after="0"/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577FCC" w:rsidRPr="00577FCC" w:rsidRDefault="00B56B83" w:rsidP="00B56B8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85834">
              <w:rPr>
                <w:rFonts w:ascii="Times New Roman" w:hAnsi="Times New Roman" w:cs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Номер услуги в федеральном реестре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577FCC" w:rsidRPr="00577FCC" w:rsidRDefault="00B56B83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3640100010000938201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77FCC" w:rsidRPr="00224CFA" w:rsidRDefault="00577FCC" w:rsidP="00224CFA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577FCC">
              <w:rPr>
                <w:rFonts w:ascii="Times New Roman" w:hAnsi="Times New Roman" w:cs="Times New Roman"/>
                <w:b w:val="0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577FCC" w:rsidRPr="00577FCC" w:rsidTr="00224CFA">
        <w:trPr>
          <w:trHeight w:val="735"/>
        </w:trPr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77FCC" w:rsidRPr="00224CFA" w:rsidRDefault="00BC2EC3" w:rsidP="00224CFA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BC2EC3">
              <w:rPr>
                <w:rFonts w:ascii="Times New Roman" w:hAnsi="Times New Roman" w:cs="Times New Roman"/>
                <w:b w:val="0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577FCC" w:rsidRPr="00B56B83" w:rsidRDefault="00B56B83" w:rsidP="00224CFA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bookmarkStart w:id="1" w:name="P31"/>
            <w:bookmarkEnd w:id="1"/>
            <w:r w:rsidRPr="00B56B83">
              <w:rPr>
                <w:rFonts w:ascii="Times New Roman" w:hAnsi="Times New Roman" w:cs="Times New Roman"/>
                <w:b w:val="0"/>
              </w:rPr>
              <w:t>Утвержден постановлением администрации Сторожевского 1-го сельского поселения Острогожского  муниципального района Воронежской области от 27.05.2016г. № 54 «Об утверждении административного  регламента Сторожевского 1-го сельского поселения Острогожского муниципального района Воронежской области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ярмарок».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Перечень «</w:t>
            </w:r>
            <w:proofErr w:type="spellStart"/>
            <w:r w:rsidRPr="00577FCC">
              <w:rPr>
                <w:rFonts w:ascii="Times New Roman" w:hAnsi="Times New Roman"/>
              </w:rPr>
              <w:t>подуслуг</w:t>
            </w:r>
            <w:proofErr w:type="spellEnd"/>
            <w:r w:rsidRPr="00577FC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577FCC" w:rsidRPr="00577FCC" w:rsidRDefault="00224CFA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B56B83">
              <w:rPr>
                <w:rFonts w:ascii="Times New Roman" w:hAnsi="Times New Roman" w:cs="Times New Roman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</w:t>
            </w:r>
            <w:r>
              <w:rPr>
                <w:rFonts w:ascii="Times New Roman" w:hAnsi="Times New Roman" w:cs="Times New Roman"/>
              </w:rPr>
              <w:t xml:space="preserve"> ярмарок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радиотелефонная связь;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терминальные устройства в МФЦ;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официальный сайт органа;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77FCC" w:rsidRPr="00577FCC" w:rsidRDefault="00577FCC" w:rsidP="00FB775B">
      <w:pPr>
        <w:spacing w:line="240" w:lineRule="auto"/>
        <w:jc w:val="center"/>
        <w:rPr>
          <w:rFonts w:ascii="Times New Roman" w:hAnsi="Times New Roman"/>
          <w:b/>
        </w:rPr>
      </w:pPr>
    </w:p>
    <w:p w:rsidR="00D22156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09"/>
        <w:gridCol w:w="2693"/>
        <w:gridCol w:w="709"/>
        <w:gridCol w:w="992"/>
        <w:gridCol w:w="1134"/>
        <w:gridCol w:w="1134"/>
        <w:gridCol w:w="992"/>
        <w:gridCol w:w="1560"/>
        <w:gridCol w:w="1701"/>
      </w:tblGrid>
      <w:tr w:rsidR="00B53820" w:rsidRPr="00577FCC" w:rsidTr="00224CFA">
        <w:tc>
          <w:tcPr>
            <w:tcW w:w="2552" w:type="dxa"/>
            <w:gridSpan w:val="2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09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693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</w:tr>
      <w:tr w:rsidR="00B53820" w:rsidRPr="00577FCC" w:rsidTr="00224CFA"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577FCC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577F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09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3820" w:rsidRPr="00577FCC" w:rsidTr="00224CFA"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1809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53820" w:rsidRPr="00577FCC" w:rsidRDefault="00B53820" w:rsidP="00B53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11</w:t>
            </w:r>
          </w:p>
        </w:tc>
      </w:tr>
      <w:tr w:rsidR="00577FCC" w:rsidRPr="00577FCC" w:rsidTr="00577FCC">
        <w:tc>
          <w:tcPr>
            <w:tcW w:w="15276" w:type="dxa"/>
            <w:gridSpan w:val="11"/>
          </w:tcPr>
          <w:p w:rsidR="00577FCC" w:rsidRPr="00577FCC" w:rsidRDefault="00577FCC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FCC" w:rsidRPr="00577FCC" w:rsidTr="00224CFA">
        <w:tc>
          <w:tcPr>
            <w:tcW w:w="1276" w:type="dxa"/>
          </w:tcPr>
          <w:p w:rsidR="00577FCC" w:rsidRPr="00577FCC" w:rsidRDefault="00577FCC" w:rsidP="00D92200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включения ярмарки в План проведения ярмарок не должен превышать 10 рабочих дней;</w:t>
            </w:r>
          </w:p>
          <w:p w:rsidR="00577FCC" w:rsidRPr="00577FCC" w:rsidRDefault="00577FCC" w:rsidP="00D92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в случае внесения изменений в План проведе</w:t>
            </w:r>
            <w:r w:rsidRPr="00577FCC">
              <w:rPr>
                <w:rFonts w:ascii="Times New Roman" w:hAnsi="Times New Roman"/>
              </w:rPr>
              <w:lastRenderedPageBreak/>
              <w:t>ния ярмарок не должен превышать 30 календарных дней;</w:t>
            </w:r>
          </w:p>
        </w:tc>
        <w:tc>
          <w:tcPr>
            <w:tcW w:w="1276" w:type="dxa"/>
          </w:tcPr>
          <w:p w:rsidR="00577FCC" w:rsidRPr="00577FCC" w:rsidRDefault="00577FCC" w:rsidP="00D92200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10 рабочих дней;</w:t>
            </w:r>
          </w:p>
          <w:p w:rsidR="00577FCC" w:rsidRPr="00577FCC" w:rsidRDefault="00577FCC" w:rsidP="00D92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в случае внесения изменений в План проведе</w:t>
            </w:r>
            <w:r w:rsidRPr="00577FCC">
              <w:rPr>
                <w:rFonts w:ascii="Times New Roman" w:hAnsi="Times New Roman"/>
              </w:rPr>
              <w:lastRenderedPageBreak/>
              <w:t>ния ярмарок не должен превышать 30 календарных дней;</w:t>
            </w:r>
          </w:p>
        </w:tc>
        <w:tc>
          <w:tcPr>
            <w:tcW w:w="1809" w:type="dxa"/>
          </w:tcPr>
          <w:p w:rsidR="00577FCC" w:rsidRPr="00577FCC" w:rsidRDefault="00577FCC" w:rsidP="00D92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Подача заявления лицом, не уполномоченным совершать такого рода действия</w:t>
            </w:r>
          </w:p>
        </w:tc>
        <w:tc>
          <w:tcPr>
            <w:tcW w:w="2693" w:type="dxa"/>
          </w:tcPr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1) организатором не соблюден порядок подачи заявления о проведении ярмарки;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2) невозможность проведения ярмарки на земельном участке (объекте 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3) наличие неоднократных нарушений требований, предусмотренных пунктом 21 раздела II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5) проведение ярмарки совпадает по времени и месту проведения с другой ярмаркой, 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выставочно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-ярмарочным или публичным мероприятием, заявление о проведении которого подано ранее.</w:t>
            </w:r>
          </w:p>
        </w:tc>
        <w:tc>
          <w:tcPr>
            <w:tcW w:w="709" w:type="dxa"/>
          </w:tcPr>
          <w:p w:rsidR="00577FCC" w:rsidRPr="00577FCC" w:rsidRDefault="00577FCC" w:rsidP="00D9220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577FCC" w:rsidRPr="00577FCC" w:rsidRDefault="00577FCC" w:rsidP="00D92200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577FCC" w:rsidRPr="00577FCC" w:rsidRDefault="00577FCC" w:rsidP="00D9220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77FCC" w:rsidRPr="00577FCC" w:rsidRDefault="00577FCC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77FCC" w:rsidRPr="00577FCC" w:rsidRDefault="00577FCC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Единый портал государственных и муниципальных услуг</w:t>
            </w:r>
          </w:p>
        </w:tc>
        <w:tc>
          <w:tcPr>
            <w:tcW w:w="1701" w:type="dxa"/>
          </w:tcPr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0A8B" w:rsidRPr="00577FCC" w:rsidRDefault="008C0A8B" w:rsidP="00B964F2">
      <w:pPr>
        <w:spacing w:line="240" w:lineRule="auto"/>
        <w:rPr>
          <w:rFonts w:ascii="Times New Roman" w:hAnsi="Times New Roman"/>
          <w:b/>
        </w:rPr>
      </w:pPr>
    </w:p>
    <w:p w:rsidR="008C0A8B" w:rsidRPr="00577FCC" w:rsidRDefault="008C0A8B" w:rsidP="00B964F2">
      <w:pPr>
        <w:spacing w:line="240" w:lineRule="auto"/>
        <w:rPr>
          <w:rFonts w:ascii="Times New Roman" w:hAnsi="Times New Roman"/>
          <w:b/>
        </w:rPr>
      </w:pPr>
    </w:p>
    <w:p w:rsidR="00B964F2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410"/>
        <w:gridCol w:w="1275"/>
        <w:gridCol w:w="1559"/>
        <w:gridCol w:w="1276"/>
        <w:gridCol w:w="2127"/>
      </w:tblGrid>
      <w:tr w:rsidR="00414473" w:rsidRPr="00577FCC" w:rsidTr="00577FCC">
        <w:trPr>
          <w:trHeight w:val="703"/>
        </w:trPr>
        <w:tc>
          <w:tcPr>
            <w:tcW w:w="53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577FCC" w:rsidTr="00577FCC">
        <w:trPr>
          <w:trHeight w:val="236"/>
        </w:trPr>
        <w:tc>
          <w:tcPr>
            <w:tcW w:w="53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4FFA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414473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</w:tr>
      <w:tr w:rsidR="00577FCC" w:rsidRPr="00577FCC" w:rsidTr="00577FCC">
        <w:trPr>
          <w:trHeight w:val="236"/>
        </w:trPr>
        <w:tc>
          <w:tcPr>
            <w:tcW w:w="15276" w:type="dxa"/>
            <w:gridSpan w:val="8"/>
          </w:tcPr>
          <w:p w:rsidR="00577FCC" w:rsidRPr="00577FCC" w:rsidRDefault="00577FCC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FCC" w:rsidRPr="00577FCC" w:rsidTr="00577FCC">
        <w:trPr>
          <w:trHeight w:val="650"/>
        </w:trPr>
        <w:tc>
          <w:tcPr>
            <w:tcW w:w="534" w:type="dxa"/>
            <w:vMerge w:val="restart"/>
          </w:tcPr>
          <w:p w:rsidR="00577FCC" w:rsidRPr="00577FCC" w:rsidRDefault="00577F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77FCC" w:rsidRPr="00577FCC" w:rsidRDefault="00577FCC" w:rsidP="00577FC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ридические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лица и индивидуальные предприниматели, осуществляющие </w:t>
            </w:r>
            <w:r>
              <w:rPr>
                <w:rFonts w:ascii="Times New Roman" w:hAnsi="Times New Roman"/>
                <w:sz w:val="22"/>
                <w:szCs w:val="22"/>
              </w:rPr>
              <w:t>функции по организации ярмарки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577FCC" w:rsidRPr="00577FCC" w:rsidRDefault="00577FCC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Документы, подтверждающие право собственности (пользования, владения) организатора ярмарки на земельный участок (объект недвижимости)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577FCC" w:rsidRPr="00577FCC" w:rsidRDefault="00577FCC" w:rsidP="00F13808">
            <w:pPr>
              <w:pStyle w:val="ad"/>
              <w:jc w:val="both"/>
            </w:pPr>
            <w:r w:rsidRPr="00ED1AE5">
              <w:rPr>
                <w:rFonts w:ascii="Times New Roman" w:hAnsi="Times New Roman"/>
              </w:rPr>
              <w:t>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275" w:type="dxa"/>
            <w:vMerge w:val="restart"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276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127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577FCC" w:rsidRPr="00577FCC" w:rsidTr="00577FCC">
        <w:trPr>
          <w:trHeight w:val="650"/>
        </w:trPr>
        <w:tc>
          <w:tcPr>
            <w:tcW w:w="534" w:type="dxa"/>
            <w:vMerge/>
          </w:tcPr>
          <w:p w:rsidR="00577FCC" w:rsidRPr="00577FCC" w:rsidRDefault="00577F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577FCC" w:rsidRDefault="00577FCC" w:rsidP="00577FC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577FCC" w:rsidRPr="00ED1AE5" w:rsidRDefault="00577FCC" w:rsidP="0057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Документ, подтверждающий право лица без доверенности действовать </w:t>
            </w:r>
            <w:r w:rsidRPr="00ED1AE5">
              <w:rPr>
                <w:rFonts w:ascii="Times New Roman" w:hAnsi="Times New Roman"/>
              </w:rPr>
              <w:lastRenderedPageBreak/>
              <w:t>от имени юридического лица (копия решения о назначении лица или его избрании)</w:t>
            </w:r>
          </w:p>
        </w:tc>
        <w:tc>
          <w:tcPr>
            <w:tcW w:w="2410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Решение о назначении лица или его избрании должна быть заверена </w:t>
            </w:r>
            <w:r w:rsidRPr="00ED1AE5">
              <w:rPr>
                <w:rFonts w:ascii="Times New Roman" w:hAnsi="Times New Roman"/>
              </w:rPr>
              <w:lastRenderedPageBreak/>
              <w:t>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275" w:type="dxa"/>
            <w:vMerge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127" w:type="dxa"/>
            <w:vMerge w:val="restart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выдается за подписью руководителя или </w:t>
            </w:r>
            <w:r w:rsidRPr="00ED1AE5">
              <w:rPr>
                <w:rFonts w:ascii="Times New Roman" w:hAnsi="Times New Roman"/>
              </w:rPr>
              <w:lastRenderedPageBreak/>
              <w:t>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  <w:tr w:rsidR="00577FCC" w:rsidRPr="00577FCC" w:rsidTr="00577FCC">
        <w:trPr>
          <w:trHeight w:val="650"/>
        </w:trPr>
        <w:tc>
          <w:tcPr>
            <w:tcW w:w="534" w:type="dxa"/>
            <w:vMerge/>
          </w:tcPr>
          <w:p w:rsidR="00577FCC" w:rsidRPr="00577FCC" w:rsidRDefault="00577F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577FCC" w:rsidRDefault="00577FCC" w:rsidP="00577FC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577FCC" w:rsidRPr="00ED1AE5" w:rsidRDefault="00577FCC" w:rsidP="0057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5" w:type="dxa"/>
            <w:vMerge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7FCC" w:rsidRPr="00577FCC" w:rsidRDefault="00577FCC" w:rsidP="00E01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5AA0" w:rsidRPr="00577FCC" w:rsidRDefault="00C55AA0" w:rsidP="00B25296">
      <w:pPr>
        <w:tabs>
          <w:tab w:val="left" w:pos="12225"/>
        </w:tabs>
        <w:spacing w:line="240" w:lineRule="auto"/>
        <w:ind w:left="720"/>
        <w:rPr>
          <w:rFonts w:ascii="Times New Roman" w:hAnsi="Times New Roman"/>
          <w:b/>
        </w:rPr>
      </w:pPr>
      <w:r w:rsidRPr="00577FCC">
        <w:rPr>
          <w:rFonts w:ascii="Times New Roman" w:hAnsi="Times New Roman"/>
          <w:b/>
        </w:rPr>
        <w:t xml:space="preserve"> </w:t>
      </w:r>
    </w:p>
    <w:p w:rsidR="005A079E" w:rsidRPr="00577FCC" w:rsidRDefault="005A079E" w:rsidP="00DD19AE">
      <w:pPr>
        <w:spacing w:line="240" w:lineRule="auto"/>
        <w:rPr>
          <w:rFonts w:ascii="Times New Roman" w:hAnsi="Times New Roman"/>
          <w:b/>
        </w:rPr>
      </w:pPr>
    </w:p>
    <w:p w:rsidR="00DD19AE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693"/>
        <w:gridCol w:w="1276"/>
        <w:gridCol w:w="1700"/>
      </w:tblGrid>
      <w:tr w:rsidR="00DD19AE" w:rsidRPr="00577FCC" w:rsidTr="00BF75AA">
        <w:trPr>
          <w:trHeight w:val="1935"/>
        </w:trPr>
        <w:tc>
          <w:tcPr>
            <w:tcW w:w="534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DD19AE" w:rsidRPr="00577FCC" w:rsidRDefault="00CB1C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DD19AE" w:rsidRPr="00BF75AA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F75AA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DD19AE" w:rsidRPr="00BF75AA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Форма (шаблон) документа</w:t>
            </w:r>
            <w:r w:rsidR="00BF75AA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700" w:type="dxa"/>
          </w:tcPr>
          <w:p w:rsidR="00DD19AE" w:rsidRPr="00BF75AA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BF75AA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D19AE" w:rsidRPr="00577FCC" w:rsidTr="00BF75AA">
        <w:tc>
          <w:tcPr>
            <w:tcW w:w="534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</w:tr>
      <w:tr w:rsidR="00577FCC" w:rsidRPr="00577FCC" w:rsidTr="00577FCC">
        <w:tc>
          <w:tcPr>
            <w:tcW w:w="15275" w:type="dxa"/>
            <w:gridSpan w:val="8"/>
          </w:tcPr>
          <w:p w:rsidR="00577FCC" w:rsidRPr="00CB1C3D" w:rsidRDefault="00577FCC" w:rsidP="00CB1C3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F13808" w:rsidRPr="00577FCC" w:rsidTr="00BF75AA">
        <w:trPr>
          <w:trHeight w:val="996"/>
        </w:trPr>
        <w:tc>
          <w:tcPr>
            <w:tcW w:w="534" w:type="dxa"/>
          </w:tcPr>
          <w:p w:rsidR="00F13808" w:rsidRPr="00CB1C3D" w:rsidRDefault="00F13808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3808" w:rsidRPr="00577FCC" w:rsidRDefault="00CB1C3D" w:rsidP="00447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13808" w:rsidRPr="00CB1C3D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CB1C3D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77FCC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F13808" w:rsidRPr="00CB1C3D" w:rsidRDefault="00CB1C3D" w:rsidP="00CB1C3D">
            <w:pPr>
              <w:rPr>
                <w:rFonts w:ascii="Times New Roman" w:hAnsi="Times New Roman"/>
              </w:rPr>
            </w:pPr>
            <w:r w:rsidRPr="00CB1C3D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место проведения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вид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ассортимент (вид) реализуемых на ярмарке товаров (работ, услуг);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срок проведения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режим работы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максимальное количество торговых мест на ярмарке.</w:t>
            </w:r>
          </w:p>
          <w:p w:rsidR="00F13808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</w:tc>
        <w:tc>
          <w:tcPr>
            <w:tcW w:w="1276" w:type="dxa"/>
          </w:tcPr>
          <w:p w:rsidR="00F13808" w:rsidRPr="00577FCC" w:rsidRDefault="00F13808" w:rsidP="00CB1C3D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700" w:type="dxa"/>
          </w:tcPr>
          <w:p w:rsidR="00F13808" w:rsidRPr="00577FCC" w:rsidRDefault="00F13808" w:rsidP="00CB1C3D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Приложение №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77FCC">
              <w:rPr>
                <w:rFonts w:ascii="Times New Roman" w:hAnsi="Times New Roman"/>
              </w:rPr>
              <w:t xml:space="preserve">окументы, удостоверяющие личность заявителя и представителя заявителя, </w:t>
            </w:r>
          </w:p>
        </w:tc>
        <w:tc>
          <w:tcPr>
            <w:tcW w:w="3685" w:type="dxa"/>
          </w:tcPr>
          <w:p w:rsidR="00CB1C3D" w:rsidRPr="00577FCC" w:rsidRDefault="00CB1C3D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</w:tc>
        <w:tc>
          <w:tcPr>
            <w:tcW w:w="1701" w:type="dxa"/>
          </w:tcPr>
          <w:p w:rsidR="00CB1C3D" w:rsidRPr="00577FCC" w:rsidRDefault="00CB1C3D" w:rsidP="00CB1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  <w:p w:rsidR="00CB1C3D" w:rsidRPr="00577FCC" w:rsidRDefault="00CB1C3D" w:rsidP="00167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E405F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7FCC">
              <w:rPr>
                <w:rFonts w:ascii="Times New Roman" w:hAnsi="Times New Roman"/>
              </w:rPr>
              <w:t xml:space="preserve">окумент, подтверждающего полномочия представителя </w:t>
            </w:r>
            <w:proofErr w:type="gramStart"/>
            <w:r w:rsidRPr="00577FCC">
              <w:rPr>
                <w:rFonts w:ascii="Times New Roman" w:hAnsi="Times New Roman"/>
              </w:rPr>
              <w:t>заявителя,.</w:t>
            </w:r>
            <w:proofErr w:type="gramEnd"/>
          </w:p>
        </w:tc>
        <w:tc>
          <w:tcPr>
            <w:tcW w:w="3685" w:type="dxa"/>
          </w:tcPr>
          <w:p w:rsidR="00CB1C3D" w:rsidRDefault="00CB1C3D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о назначении на должность</w:t>
            </w:r>
          </w:p>
          <w:p w:rsidR="00CB1C3D" w:rsidRPr="00577FCC" w:rsidRDefault="00CB1C3D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</w:tc>
        <w:tc>
          <w:tcPr>
            <w:tcW w:w="1701" w:type="dxa"/>
          </w:tcPr>
          <w:p w:rsidR="00CB1C3D" w:rsidRDefault="00CB1C3D" w:rsidP="00CB1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в случае, если заявление подается представителем заявителя</w:t>
            </w:r>
            <w:r>
              <w:rPr>
                <w:rFonts w:ascii="Times New Roman" w:hAnsi="Times New Roman"/>
              </w:rPr>
              <w:t>; представляется один из документов данной категории</w:t>
            </w:r>
          </w:p>
        </w:tc>
        <w:tc>
          <w:tcPr>
            <w:tcW w:w="2693" w:type="dxa"/>
          </w:tcPr>
          <w:p w:rsidR="00CB1C3D" w:rsidRPr="00577FCC" w:rsidRDefault="00CB1C3D" w:rsidP="00E405F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Pr="00577FCC" w:rsidRDefault="00CB1C3D" w:rsidP="00AF6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CB1C3D" w:rsidRPr="00577FCC" w:rsidRDefault="00CB1C3D" w:rsidP="00AF6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577FC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577FCC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</w:tcPr>
          <w:p w:rsidR="00CB1C3D" w:rsidRPr="00CB1C3D" w:rsidRDefault="00CB1C3D" w:rsidP="00CB1C3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учредительны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документ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организато</w:t>
            </w:r>
            <w:r>
              <w:rPr>
                <w:rFonts w:ascii="Times New Roman" w:hAnsi="Times New Roman"/>
                <w:sz w:val="22"/>
                <w:szCs w:val="22"/>
              </w:rPr>
              <w:t>ра ярмарки – юридического лица</w:t>
            </w:r>
          </w:p>
        </w:tc>
        <w:tc>
          <w:tcPr>
            <w:tcW w:w="1701" w:type="dxa"/>
          </w:tcPr>
          <w:p w:rsidR="00CB1C3D" w:rsidRPr="00577FCC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</w:t>
            </w:r>
            <w:r w:rsidRPr="00577FCC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577FCC">
              <w:rPr>
                <w:rFonts w:ascii="Times New Roman" w:hAnsi="Times New Roman"/>
              </w:rPr>
              <w:t xml:space="preserve"> право собственности</w:t>
            </w:r>
          </w:p>
        </w:tc>
        <w:tc>
          <w:tcPr>
            <w:tcW w:w="3685" w:type="dxa"/>
          </w:tcPr>
          <w:p w:rsidR="00CB1C3D" w:rsidRDefault="00CB1C3D" w:rsidP="00CB1C3D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д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окумент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</w:t>
            </w:r>
          </w:p>
          <w:p w:rsidR="00CB1C3D" w:rsidRPr="00577FCC" w:rsidRDefault="00CB1C3D" w:rsidP="00CB1C3D">
            <w:pPr>
              <w:pStyle w:val="af6"/>
              <w:jc w:val="left"/>
              <w:rPr>
                <w:rStyle w:val="af3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согласие собственника (землепользователя, землевладельца), арендатора земельного участка (объекта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недвижимости) на проведение ярмарки;</w:t>
            </w:r>
          </w:p>
          <w:p w:rsidR="00CB1C3D" w:rsidRPr="00CB1C3D" w:rsidRDefault="00CB1C3D" w:rsidP="00CB1C3D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B1C3D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</w:tc>
        <w:tc>
          <w:tcPr>
            <w:tcW w:w="2127" w:type="dxa"/>
          </w:tcPr>
          <w:p w:rsidR="00CB1C3D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один из документов данной категории.</w:t>
            </w:r>
          </w:p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самостоятельно, в случае, </w:t>
            </w:r>
            <w:r w:rsidRPr="00577FCC">
              <w:rPr>
                <w:rFonts w:ascii="Times New Roman" w:hAnsi="Times New Roman"/>
              </w:rPr>
              <w:lastRenderedPageBreak/>
              <w:t>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      </w:r>
            <w:r>
              <w:rPr>
                <w:rFonts w:ascii="Times New Roman" w:hAnsi="Times New Roman"/>
              </w:rPr>
              <w:t>ного самоуправления организаций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схема границ территории</w:t>
            </w:r>
          </w:p>
        </w:tc>
        <w:tc>
          <w:tcPr>
            <w:tcW w:w="3685" w:type="dxa"/>
          </w:tcPr>
          <w:p w:rsidR="00CB1C3D" w:rsidRPr="00CB1C3D" w:rsidRDefault="00CB1C3D" w:rsidP="00CB1C3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схема границ территории, на которой предполагается проведение ярмарки, нанесен</w:t>
            </w:r>
            <w:r>
              <w:rPr>
                <w:rFonts w:ascii="Times New Roman" w:hAnsi="Times New Roman"/>
                <w:sz w:val="22"/>
                <w:szCs w:val="22"/>
              </w:rPr>
              <w:t>ная на план земельного участка</w:t>
            </w:r>
          </w:p>
        </w:tc>
        <w:tc>
          <w:tcPr>
            <w:tcW w:w="1701" w:type="dxa"/>
          </w:tcPr>
          <w:p w:rsidR="00CB1C3D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CB1C3D" w:rsidRPr="00577FCC" w:rsidRDefault="00BF75AA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план мероприятий по организации ярмарки и продажи товаров</w:t>
            </w:r>
          </w:p>
        </w:tc>
        <w:tc>
          <w:tcPr>
            <w:tcW w:w="3685" w:type="dxa"/>
          </w:tcPr>
          <w:p w:rsidR="00CB1C3D" w:rsidRPr="00CB1C3D" w:rsidRDefault="00CB1C3D" w:rsidP="00CB1C3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докуме</w:t>
            </w:r>
            <w:r>
              <w:rPr>
                <w:rFonts w:ascii="Times New Roman" w:hAnsi="Times New Roman"/>
                <w:sz w:val="22"/>
                <w:szCs w:val="22"/>
              </w:rPr>
              <w:t>нт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которым организатор ярмарки утвердил план мероприятий по организации ярмарки и продажи товаров (выполнения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работ, оказания услуг) на ней</w:t>
            </w:r>
          </w:p>
        </w:tc>
        <w:tc>
          <w:tcPr>
            <w:tcW w:w="1701" w:type="dxa"/>
          </w:tcPr>
          <w:p w:rsidR="00CB1C3D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CB1C3D" w:rsidRPr="00577FCC" w:rsidRDefault="00BF75AA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75AA" w:rsidRPr="00577FCC" w:rsidTr="00BF75AA">
        <w:tc>
          <w:tcPr>
            <w:tcW w:w="534" w:type="dxa"/>
          </w:tcPr>
          <w:p w:rsidR="00BF75AA" w:rsidRPr="00CB1C3D" w:rsidRDefault="00BF75AA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75AA" w:rsidRPr="00577FCC" w:rsidRDefault="00BF75AA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режим работы ярмарки, порядок ор</w:t>
            </w:r>
            <w:r>
              <w:rPr>
                <w:rFonts w:ascii="Times New Roman" w:hAnsi="Times New Roman"/>
              </w:rPr>
              <w:t>ганизации ярмарки</w:t>
            </w:r>
          </w:p>
        </w:tc>
        <w:tc>
          <w:tcPr>
            <w:tcW w:w="3685" w:type="dxa"/>
          </w:tcPr>
          <w:p w:rsidR="00BF75AA" w:rsidRPr="00CB1C3D" w:rsidRDefault="00BF75AA" w:rsidP="00BF75A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определяющи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режим работы ярмарки, порядок организации ярмарки, порядок предоставления мест для продажи товаров (выполнения раб</w:t>
            </w:r>
            <w:r>
              <w:rPr>
                <w:rFonts w:ascii="Times New Roman" w:hAnsi="Times New Roman"/>
                <w:sz w:val="22"/>
                <w:szCs w:val="22"/>
              </w:rPr>
              <w:t>от, оказания услуг) на ярмарке</w:t>
            </w:r>
          </w:p>
        </w:tc>
        <w:tc>
          <w:tcPr>
            <w:tcW w:w="1701" w:type="dxa"/>
          </w:tcPr>
          <w:p w:rsidR="00BF75AA" w:rsidRDefault="00BF75AA" w:rsidP="005A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BF75AA" w:rsidRPr="00577FCC" w:rsidRDefault="00BF75AA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BF75AA" w:rsidRPr="00577FCC" w:rsidRDefault="00BF75AA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75AA" w:rsidRDefault="00BF75AA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F75AA" w:rsidRDefault="00BF75AA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1C3D" w:rsidRDefault="00CB1C3D" w:rsidP="00E721DC">
      <w:pPr>
        <w:tabs>
          <w:tab w:val="left" w:pos="1530"/>
        </w:tabs>
        <w:spacing w:line="240" w:lineRule="auto"/>
        <w:rPr>
          <w:rFonts w:ascii="Times New Roman" w:hAnsi="Times New Roman"/>
          <w:b/>
        </w:rPr>
      </w:pPr>
    </w:p>
    <w:p w:rsidR="001D7DA7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1276"/>
        <w:gridCol w:w="2268"/>
        <w:gridCol w:w="850"/>
        <w:gridCol w:w="1560"/>
        <w:gridCol w:w="1417"/>
        <w:gridCol w:w="1417"/>
      </w:tblGrid>
      <w:tr w:rsidR="00BF75AA" w:rsidRPr="00577FCC" w:rsidTr="00BF75AA">
        <w:trPr>
          <w:trHeight w:val="2287"/>
        </w:trPr>
        <w:tc>
          <w:tcPr>
            <w:tcW w:w="1242" w:type="dxa"/>
          </w:tcPr>
          <w:p w:rsidR="00BF75AA" w:rsidRPr="00BD0FB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</w:t>
            </w:r>
            <w:r w:rsidRPr="00ED1AE5">
              <w:rPr>
                <w:rFonts w:ascii="Times New Roman" w:hAnsi="Times New Roman"/>
                <w:b/>
              </w:rPr>
              <w:lastRenderedPageBreak/>
              <w:t>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552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</w:t>
            </w:r>
            <w:r w:rsidRPr="00ED1AE5">
              <w:rPr>
                <w:rFonts w:ascii="Times New Roman" w:hAnsi="Times New Roman"/>
                <w:b/>
              </w:rPr>
              <w:lastRenderedPageBreak/>
              <w:t>ведомственный запрос</w:t>
            </w:r>
          </w:p>
        </w:tc>
        <w:tc>
          <w:tcPr>
            <w:tcW w:w="2268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</w:t>
            </w:r>
            <w:r w:rsidRPr="00ED1AE5">
              <w:rPr>
                <w:rFonts w:ascii="Times New Roman" w:hAnsi="Times New Roman"/>
                <w:b/>
              </w:rPr>
              <w:lastRenderedPageBreak/>
              <w:t>вида сведений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 xml:space="preserve">Форма (шаблон) межведомственного запроса и ответа на </w:t>
            </w:r>
            <w:r w:rsidRPr="00ED1AE5">
              <w:rPr>
                <w:rFonts w:ascii="Times New Roman" w:hAnsi="Times New Roman"/>
                <w:b/>
              </w:rPr>
              <w:lastRenderedPageBreak/>
              <w:t>межведомственный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 xml:space="preserve">Образец заполнения формы межведомственного запроса и ответа на </w:t>
            </w:r>
            <w:r w:rsidRPr="00ED1AE5">
              <w:rPr>
                <w:rFonts w:ascii="Times New Roman" w:hAnsi="Times New Roman"/>
                <w:b/>
              </w:rPr>
              <w:lastRenderedPageBreak/>
              <w:t>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95121" w:rsidRPr="00577FCC" w:rsidTr="00BF75AA">
        <w:trPr>
          <w:trHeight w:val="232"/>
        </w:trPr>
        <w:tc>
          <w:tcPr>
            <w:tcW w:w="1242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</w:tr>
      <w:tr w:rsidR="00577FCC" w:rsidRPr="00577FCC" w:rsidTr="00BF75AA">
        <w:trPr>
          <w:trHeight w:val="232"/>
        </w:trPr>
        <w:tc>
          <w:tcPr>
            <w:tcW w:w="15133" w:type="dxa"/>
            <w:gridSpan w:val="9"/>
          </w:tcPr>
          <w:p w:rsidR="00577FCC" w:rsidRPr="00577FCC" w:rsidRDefault="00577FCC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121" w:rsidRPr="00577FCC" w:rsidTr="00BF75AA">
        <w:tc>
          <w:tcPr>
            <w:tcW w:w="1242" w:type="dxa"/>
          </w:tcPr>
          <w:p w:rsidR="00995121" w:rsidRPr="00577FCC" w:rsidRDefault="00995121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5121" w:rsidRPr="00577FCC" w:rsidRDefault="00BF75AA" w:rsidP="00BF75A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="00DE3C61" w:rsidRPr="00577FC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="00DE3C61" w:rsidRPr="00577FCC">
              <w:rPr>
                <w:rFonts w:ascii="Times New Roman" w:hAnsi="Times New Roman"/>
                <w:sz w:val="22"/>
                <w:szCs w:val="22"/>
              </w:rPr>
              <w:t>ыписк</w:t>
            </w:r>
            <w:r w:rsidR="00DE3C61" w:rsidRPr="00577FC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="00DE3C61" w:rsidRPr="00577FCC">
              <w:rPr>
                <w:rFonts w:ascii="Times New Roma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551" w:type="dxa"/>
          </w:tcPr>
          <w:p w:rsidR="000B781D" w:rsidRPr="00577FCC" w:rsidRDefault="00BF75AA" w:rsidP="00BF75A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  <w:r w:rsidRPr="00BF75AA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BF75AA">
              <w:rPr>
                <w:rFonts w:ascii="Times New Roman" w:hAnsi="Times New Roman"/>
              </w:rPr>
              <w:t xml:space="preserve">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</w:t>
            </w:r>
          </w:p>
        </w:tc>
        <w:tc>
          <w:tcPr>
            <w:tcW w:w="1276" w:type="dxa"/>
          </w:tcPr>
          <w:p w:rsidR="006B25CB" w:rsidRPr="00577FCC" w:rsidRDefault="000B781D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68" w:type="dxa"/>
          </w:tcPr>
          <w:p w:rsidR="008B3218" w:rsidRPr="00577FCC" w:rsidRDefault="008B3218" w:rsidP="00DE3C61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E3C61" w:rsidRPr="00577FCC">
              <w:rPr>
                <w:rFonts w:ascii="Times New Roma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 w:rsidR="00DE3C61"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E3C61" w:rsidRPr="00577F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77FCC" w:rsidRDefault="00DE3C61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3 </w:t>
            </w:r>
            <w:r w:rsidR="000B781D" w:rsidRPr="00577FCC">
              <w:rPr>
                <w:rFonts w:ascii="Times New Roman" w:hAnsi="Times New Roman"/>
              </w:rPr>
              <w:t>рабочи</w:t>
            </w:r>
            <w:r w:rsidR="008F671B" w:rsidRPr="00577FCC">
              <w:rPr>
                <w:rFonts w:ascii="Times New Roman" w:hAnsi="Times New Roman"/>
              </w:rPr>
              <w:t>х</w:t>
            </w:r>
            <w:r w:rsidR="000B781D" w:rsidRPr="00577FCC">
              <w:rPr>
                <w:rFonts w:ascii="Times New Roman" w:hAnsi="Times New Roman"/>
              </w:rPr>
              <w:t xml:space="preserve"> д</w:t>
            </w:r>
            <w:r w:rsidR="008F671B" w:rsidRPr="00577FCC">
              <w:rPr>
                <w:rFonts w:ascii="Times New Roman" w:hAnsi="Times New Roman"/>
              </w:rPr>
              <w:t>н</w:t>
            </w:r>
            <w:r w:rsidRPr="00577FCC">
              <w:rPr>
                <w:rFonts w:ascii="Times New Roman" w:hAnsi="Times New Roman"/>
              </w:rPr>
              <w:t>я</w:t>
            </w:r>
          </w:p>
        </w:tc>
        <w:tc>
          <w:tcPr>
            <w:tcW w:w="1417" w:type="dxa"/>
          </w:tcPr>
          <w:p w:rsidR="00995121" w:rsidRPr="00577FCC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77FCC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75AA" w:rsidRPr="00577FCC" w:rsidTr="00BF75AA">
        <w:tc>
          <w:tcPr>
            <w:tcW w:w="1242" w:type="dxa"/>
          </w:tcPr>
          <w:p w:rsidR="00BF75AA" w:rsidRPr="00577FCC" w:rsidRDefault="00BF75AA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F75AA" w:rsidRPr="00BF75AA" w:rsidRDefault="00BF75AA" w:rsidP="00BF75AA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BF75AA" w:rsidRDefault="00BF75AA" w:rsidP="00BF75AA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BF75AA" w:rsidRPr="00BF75AA" w:rsidRDefault="00BF75AA" w:rsidP="008C387E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BF75AA" w:rsidRDefault="00BF75AA" w:rsidP="008C387E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F75AA" w:rsidRPr="00577FCC" w:rsidRDefault="00BF75AA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68" w:type="dxa"/>
          </w:tcPr>
          <w:p w:rsidR="00BF75AA" w:rsidRPr="00577FCC" w:rsidRDefault="00BF75AA" w:rsidP="00DE3C6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Управлении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BF75AA" w:rsidRPr="00577FCC" w:rsidRDefault="00BF75AA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75AA" w:rsidRPr="00577FCC" w:rsidRDefault="00BF75AA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AA" w:rsidRPr="00577FCC" w:rsidRDefault="00BF75AA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AA" w:rsidRPr="00577FCC" w:rsidRDefault="00BF75AA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6907" w:rsidRPr="00577FCC" w:rsidRDefault="00CC6907" w:rsidP="00DE6534">
      <w:pPr>
        <w:spacing w:line="240" w:lineRule="auto"/>
        <w:rPr>
          <w:rFonts w:ascii="Times New Roman" w:hAnsi="Times New Roman"/>
          <w:b/>
        </w:rPr>
      </w:pPr>
    </w:p>
    <w:p w:rsidR="00DE6534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701"/>
        <w:gridCol w:w="1985"/>
        <w:gridCol w:w="1842"/>
        <w:gridCol w:w="1560"/>
        <w:gridCol w:w="1134"/>
        <w:gridCol w:w="1276"/>
      </w:tblGrid>
      <w:tr w:rsidR="00C369B5" w:rsidRPr="00577FCC" w:rsidTr="00BB65B9">
        <w:trPr>
          <w:trHeight w:val="1559"/>
        </w:trPr>
        <w:tc>
          <w:tcPr>
            <w:tcW w:w="534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577F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b/>
              </w:rPr>
              <w:t>»</w:t>
            </w:r>
            <w:r w:rsidR="00BB65B9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C369B5" w:rsidRPr="00BB65B9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</w:t>
            </w:r>
            <w:r w:rsidR="00FC3C26" w:rsidRPr="00577F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577FCC">
              <w:rPr>
                <w:rFonts w:ascii="Times New Roman" w:hAnsi="Times New Roman"/>
                <w:b/>
              </w:rPr>
              <w:t>ся результатом «подуслуги»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842" w:type="dxa"/>
            <w:vMerge w:val="restart"/>
          </w:tcPr>
          <w:p w:rsidR="00C369B5" w:rsidRPr="00BB65B9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60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</w:tcPr>
          <w:p w:rsidR="00C369B5" w:rsidRPr="00BB65B9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369B5" w:rsidRPr="00577FCC" w:rsidTr="00BB65B9">
        <w:trPr>
          <w:trHeight w:val="377"/>
        </w:trPr>
        <w:tc>
          <w:tcPr>
            <w:tcW w:w="534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6" w:type="dxa"/>
          </w:tcPr>
          <w:p w:rsidR="00C369B5" w:rsidRPr="00577FCC" w:rsidRDefault="00C369B5" w:rsidP="00BB65B9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77FCC" w:rsidTr="00BB65B9">
        <w:tc>
          <w:tcPr>
            <w:tcW w:w="534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E6534" w:rsidRPr="00577FCC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77FCC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77FCC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</w:tr>
      <w:tr w:rsidR="00577FCC" w:rsidRPr="00577FCC" w:rsidTr="00BB65B9">
        <w:trPr>
          <w:trHeight w:val="317"/>
        </w:trPr>
        <w:tc>
          <w:tcPr>
            <w:tcW w:w="15418" w:type="dxa"/>
            <w:gridSpan w:val="9"/>
          </w:tcPr>
          <w:p w:rsidR="00577FCC" w:rsidRPr="00BB65B9" w:rsidRDefault="00577FCC" w:rsidP="00BB65B9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BB65B9" w:rsidRPr="00577FCC" w:rsidTr="00BB65B9">
        <w:trPr>
          <w:trHeight w:val="70"/>
        </w:trPr>
        <w:tc>
          <w:tcPr>
            <w:tcW w:w="534" w:type="dxa"/>
          </w:tcPr>
          <w:p w:rsidR="00BB65B9" w:rsidRPr="00577FCC" w:rsidRDefault="00BB65B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  <w:p w:rsidR="00BB65B9" w:rsidRPr="00577FCC" w:rsidRDefault="00BB65B9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B65B9" w:rsidRPr="00577FCC" w:rsidRDefault="00BB65B9" w:rsidP="000D3608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Выдача  уведомления о включении ярмарки в План проведения ярмарок</w:t>
            </w:r>
          </w:p>
        </w:tc>
        <w:tc>
          <w:tcPr>
            <w:tcW w:w="2693" w:type="dxa"/>
          </w:tcPr>
          <w:p w:rsidR="00BB65B9" w:rsidRPr="00ED1AE5" w:rsidRDefault="00BB65B9" w:rsidP="0056531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Положительный</w:t>
            </w:r>
          </w:p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B65B9" w:rsidRPr="00577FCC" w:rsidRDefault="00BB65B9" w:rsidP="004B1BF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65B9" w:rsidRPr="00577FCC" w:rsidRDefault="00BB65B9" w:rsidP="004B1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5B9" w:rsidRPr="00577FCC" w:rsidTr="00BB65B9">
        <w:trPr>
          <w:trHeight w:val="703"/>
        </w:trPr>
        <w:tc>
          <w:tcPr>
            <w:tcW w:w="534" w:type="dxa"/>
          </w:tcPr>
          <w:p w:rsidR="00BB65B9" w:rsidRPr="00577FCC" w:rsidRDefault="00BB65B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B65B9" w:rsidRPr="00577FCC" w:rsidRDefault="00BB65B9" w:rsidP="000D360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Уведомление об отказе включения ярмарки в План проведения ярмарок</w:t>
            </w:r>
          </w:p>
        </w:tc>
        <w:tc>
          <w:tcPr>
            <w:tcW w:w="2693" w:type="dxa"/>
          </w:tcPr>
          <w:p w:rsidR="00BB65B9" w:rsidRPr="00ED1AE5" w:rsidRDefault="00BB65B9" w:rsidP="0056531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  <w:vMerge/>
          </w:tcPr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66C3" w:rsidRPr="00577FCC" w:rsidRDefault="002266C3" w:rsidP="00655310">
      <w:pPr>
        <w:spacing w:line="240" w:lineRule="auto"/>
        <w:ind w:left="720"/>
        <w:rPr>
          <w:rFonts w:ascii="Times New Roman" w:hAnsi="Times New Roman"/>
          <w:b/>
        </w:rPr>
      </w:pPr>
    </w:p>
    <w:p w:rsidR="00F0595F" w:rsidRPr="00577FCC" w:rsidRDefault="00563B35" w:rsidP="00F0595F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</w:rPr>
      </w:pPr>
      <w:r w:rsidRPr="00577FCC">
        <w:rPr>
          <w:rFonts w:ascii="Times New Roman" w:hAnsi="Times New Roman"/>
          <w:b/>
        </w:rPr>
        <w:tab/>
      </w:r>
    </w:p>
    <w:p w:rsidR="0073610F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65"/>
        <w:gridCol w:w="6461"/>
        <w:gridCol w:w="1836"/>
        <w:gridCol w:w="1134"/>
        <w:gridCol w:w="1845"/>
        <w:gridCol w:w="1776"/>
      </w:tblGrid>
      <w:tr w:rsidR="009855C3" w:rsidRPr="00577FCC" w:rsidTr="00BB65B9">
        <w:tc>
          <w:tcPr>
            <w:tcW w:w="529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6461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134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BB65B9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76" w:type="dxa"/>
          </w:tcPr>
          <w:p w:rsidR="005D4742" w:rsidRPr="00BB65B9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855C3" w:rsidRPr="00577FCC" w:rsidTr="00BB65B9">
        <w:tc>
          <w:tcPr>
            <w:tcW w:w="529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76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6461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</w:tr>
      <w:tr w:rsidR="00577FCC" w:rsidRPr="00577FCC" w:rsidTr="00BB65B9">
        <w:tc>
          <w:tcPr>
            <w:tcW w:w="15346" w:type="dxa"/>
            <w:gridSpan w:val="7"/>
          </w:tcPr>
          <w:p w:rsidR="00577FCC" w:rsidRPr="00BB65B9" w:rsidRDefault="00577FCC" w:rsidP="00BB65B9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9855C3" w:rsidRPr="00577FCC" w:rsidTr="00BB65B9">
        <w:trPr>
          <w:trHeight w:val="1412"/>
        </w:trPr>
        <w:tc>
          <w:tcPr>
            <w:tcW w:w="529" w:type="dxa"/>
          </w:tcPr>
          <w:p w:rsidR="001B4A00" w:rsidRPr="00577FCC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  <w:p w:rsidR="009145EC" w:rsidRPr="00577FCC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9145EC" w:rsidRPr="00577FCC" w:rsidRDefault="009855C3" w:rsidP="009855C3">
            <w:pPr>
              <w:pStyle w:val="af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6461" w:type="dxa"/>
          </w:tcPr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устанавливает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предмет обращения, личность заявителя, 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удостоверяющий личность заявителя;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проверяют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полномочия заявителя; представителя юридического лица действовать от имени юридического лица;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соответствие заявления установленным требованиям;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регистрирует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заявление с прилагаемым комплектом документов;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вручает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уведомление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66469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документов.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 поступлении заявления в форме электронного документа и комплекта электронных документов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Уведомление о получении заявления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6B4B9D" w:rsidRPr="00577FCC" w:rsidRDefault="006B4B9D" w:rsidP="006B4B9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36" w:type="dxa"/>
          </w:tcPr>
          <w:p w:rsidR="00D361AD" w:rsidRPr="00577FCC" w:rsidRDefault="009C2766" w:rsidP="00D5311E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577FCC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845" w:type="dxa"/>
          </w:tcPr>
          <w:p w:rsidR="002B1457" w:rsidRPr="00577FCC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1A1168" w:rsidRPr="00577FCC" w:rsidRDefault="00BB65B9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9855C3" w:rsidRPr="00577FCC" w:rsidTr="00BB65B9">
        <w:trPr>
          <w:trHeight w:val="2083"/>
        </w:trPr>
        <w:tc>
          <w:tcPr>
            <w:tcW w:w="529" w:type="dxa"/>
          </w:tcPr>
          <w:p w:rsidR="009145EC" w:rsidRPr="00577FCC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65" w:type="dxa"/>
          </w:tcPr>
          <w:p w:rsidR="00C26C19" w:rsidRPr="00577FCC" w:rsidRDefault="006B4B9D" w:rsidP="00EA071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6461" w:type="dxa"/>
          </w:tcPr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наличие или отсутствие оснований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(подача заявления лицом, не уполномоченным совершать такого рода действия ).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При наличии 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данных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оснований подготавливает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и направляет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уведомление о необходимости устранения нарушений с указанием причины возврата документов.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При отсутствии 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данных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оснований проводит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проверк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заявления и прилагаемых документов на соответствие требованиям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место проведения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вид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ассортимент (вид) реализуемых на ярмарке товаров (работ, услуг);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срок проведения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режим работы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максимальное количество торговых мест на ярмарке.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В случае отсутствия в представленном пакете документов, указанных в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ыше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в рамках межведомственного взаимодействия направляет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межведомственные запросы: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1) в Управление Федеральной налоговой службы по Воронежской области для получения:  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выписки из Единого государственного реестра юридических лиц (Единого государственного реестра индивидуальных предпринимателей);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2) в управление Федеральной службы государственной регистрации, кадастра и картографии по Воронежской области для получения: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      </w:r>
          </w:p>
          <w:p w:rsidR="00F35DCD" w:rsidRPr="00577FCC" w:rsidRDefault="005B3576" w:rsidP="00DF734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определяет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наличие или отсутствие оснований для отказа в предоставлении муниципальной услуги.</w:t>
            </w:r>
          </w:p>
        </w:tc>
        <w:tc>
          <w:tcPr>
            <w:tcW w:w="1836" w:type="dxa"/>
          </w:tcPr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6 рабочих дней;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внесения изменений в План проведения ярмарок не должен превышать 12 календарных дней.</w:t>
            </w:r>
          </w:p>
          <w:p w:rsidR="00495F8F" w:rsidRPr="00577FCC" w:rsidRDefault="00495F8F" w:rsidP="00F35D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5EC" w:rsidRPr="00577FCC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845" w:type="dxa"/>
          </w:tcPr>
          <w:p w:rsidR="009145EC" w:rsidRPr="00577FCC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145EC" w:rsidRPr="00577FCC" w:rsidRDefault="009145EC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5C3" w:rsidRPr="00577FCC" w:rsidTr="00BB65B9">
        <w:trPr>
          <w:trHeight w:val="2121"/>
        </w:trPr>
        <w:tc>
          <w:tcPr>
            <w:tcW w:w="529" w:type="dxa"/>
          </w:tcPr>
          <w:p w:rsidR="00CA20E5" w:rsidRPr="00577FCC" w:rsidRDefault="00C26C1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65" w:type="dxa"/>
          </w:tcPr>
          <w:p w:rsidR="00CA20E5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6461" w:type="dxa"/>
          </w:tcPr>
          <w:p w:rsidR="00DF734D" w:rsidRPr="00577FCC" w:rsidRDefault="00F35DC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DF734D"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В случае отсутствия оснований, указанных </w:t>
            </w:r>
            <w:r w:rsidR="00DF734D"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 п.2 данного раздела: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проект постановления администрации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передает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подготовленный проект постановления и прилагаемый к нему комплект документов для подписания 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главе исполнительного органа</w:t>
            </w:r>
            <w:r w:rsidRPr="00577FCC">
              <w:rPr>
                <w:rFonts w:ascii="Times New Roman" w:eastAsia="Calibri" w:hAnsi="Times New Roman"/>
                <w:i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уведомление по форме.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В случае наличия оснований, указанных 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 п.2 данного раздела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: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проект постановления администрации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передает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подготовленный проект постановления об отказе и прилагаемый к нему комплект документов для подписания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главе исполнительного органа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уведомление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 форме.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 случае отказа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в уведомлении указываются причины, послужившие основанием для отказа, с обязательной ссылкой на нарушения.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Уведомление и постановление регистрируются в журнале регистрации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администрации.</w:t>
            </w:r>
          </w:p>
          <w:p w:rsidR="00CA20E5" w:rsidRPr="00577FCC" w:rsidRDefault="00DF734D" w:rsidP="00DF734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При поступлении в администрацию заявления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через МФЦ зарегистрированные уведомления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либо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и постановление направляются с сопроводительным письмом в адрес МФЦ</w:t>
            </w:r>
          </w:p>
        </w:tc>
        <w:tc>
          <w:tcPr>
            <w:tcW w:w="1836" w:type="dxa"/>
          </w:tcPr>
          <w:p w:rsidR="00DF734D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2 рабочих дней;</w:t>
            </w:r>
          </w:p>
          <w:p w:rsidR="00CA20E5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- в случае внесения изменений в План проведения ярмарок не должен превышать 16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календарных дней.</w:t>
            </w:r>
          </w:p>
        </w:tc>
        <w:tc>
          <w:tcPr>
            <w:tcW w:w="1134" w:type="dxa"/>
          </w:tcPr>
          <w:p w:rsidR="00CA20E5" w:rsidRPr="00577FCC" w:rsidRDefault="00185FAD" w:rsidP="00F35D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Специалист администрации</w:t>
            </w:r>
          </w:p>
        </w:tc>
        <w:tc>
          <w:tcPr>
            <w:tcW w:w="1845" w:type="dxa"/>
          </w:tcPr>
          <w:p w:rsidR="00CA20E5" w:rsidRPr="00577FCC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A20E5" w:rsidRPr="00577FCC" w:rsidRDefault="00DF734D" w:rsidP="00DF734D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Приложение №</w:t>
            </w:r>
          </w:p>
        </w:tc>
      </w:tr>
      <w:tr w:rsidR="009855C3" w:rsidRPr="00577FCC" w:rsidTr="00BB65B9">
        <w:trPr>
          <w:trHeight w:val="1698"/>
        </w:trPr>
        <w:tc>
          <w:tcPr>
            <w:tcW w:w="529" w:type="dxa"/>
          </w:tcPr>
          <w:p w:rsidR="00C26C19" w:rsidRPr="00577FCC" w:rsidRDefault="00B71518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65" w:type="dxa"/>
          </w:tcPr>
          <w:p w:rsidR="00C26C19" w:rsidRPr="00577FCC" w:rsidRDefault="006B4B9D" w:rsidP="006B4B9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6461" w:type="dxa"/>
          </w:tcPr>
          <w:p w:rsidR="00C26C19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включении (об отказе включения) ярмарки в План проведения ярмарок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с приложением постановления 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включении (об отказе включения)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</w:tc>
        <w:tc>
          <w:tcPr>
            <w:tcW w:w="1836" w:type="dxa"/>
          </w:tcPr>
          <w:p w:rsidR="00C26C19" w:rsidRPr="00577FCC" w:rsidRDefault="00DF734D" w:rsidP="0020309C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134" w:type="dxa"/>
          </w:tcPr>
          <w:p w:rsidR="00C26C19" w:rsidRPr="00577FCC" w:rsidRDefault="009E26A2" w:rsidP="002476D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</w:t>
            </w:r>
            <w:r w:rsidR="00BB65B9">
              <w:rPr>
                <w:rFonts w:ascii="Times New Roman" w:hAnsi="Times New Roman"/>
              </w:rPr>
              <w:t>, МФЦ</w:t>
            </w:r>
          </w:p>
        </w:tc>
        <w:tc>
          <w:tcPr>
            <w:tcW w:w="1845" w:type="dxa"/>
          </w:tcPr>
          <w:p w:rsidR="00C26C19" w:rsidRPr="00577FCC" w:rsidRDefault="009E26A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26C19" w:rsidRPr="00577FCC" w:rsidRDefault="00DF734D" w:rsidP="007D314E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-----------</w:t>
            </w:r>
          </w:p>
        </w:tc>
      </w:tr>
    </w:tbl>
    <w:p w:rsidR="00001C09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796"/>
        <w:gridCol w:w="1796"/>
        <w:gridCol w:w="2130"/>
        <w:gridCol w:w="2120"/>
        <w:gridCol w:w="1887"/>
        <w:gridCol w:w="2413"/>
      </w:tblGrid>
      <w:tr w:rsidR="00BB65B9" w:rsidRPr="00577FCC" w:rsidTr="00BB65B9">
        <w:tc>
          <w:tcPr>
            <w:tcW w:w="2460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4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3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14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55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BB65B9" w:rsidRPr="00577FCC" w:rsidTr="00BB65B9">
        <w:tc>
          <w:tcPr>
            <w:tcW w:w="2460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153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B65B9" w:rsidRPr="00577FCC" w:rsidTr="00577FCC">
        <w:tc>
          <w:tcPr>
            <w:tcW w:w="14786" w:type="dxa"/>
            <w:gridSpan w:val="7"/>
          </w:tcPr>
          <w:p w:rsidR="00BB65B9" w:rsidRPr="00577FCC" w:rsidRDefault="00BB65B9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</w:t>
            </w:r>
            <w:proofErr w:type="spellStart"/>
            <w:r w:rsidRPr="00577FCC">
              <w:rPr>
                <w:rFonts w:ascii="Times New Roman" w:hAnsi="Times New Roman"/>
                <w:sz w:val="22"/>
                <w:szCs w:val="22"/>
              </w:rPr>
              <w:t>подуслуги</w:t>
            </w:r>
            <w:proofErr w:type="spellEnd"/>
            <w:r w:rsidRPr="00577FCC">
              <w:rPr>
                <w:rFonts w:ascii="Times New Roman" w:hAnsi="Times New Roman"/>
                <w:sz w:val="22"/>
                <w:szCs w:val="22"/>
              </w:rPr>
              <w:t>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BB65B9" w:rsidRPr="00577FCC" w:rsidRDefault="00BB65B9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5B9" w:rsidRPr="00577FCC" w:rsidTr="00BB65B9">
        <w:trPr>
          <w:trHeight w:val="416"/>
        </w:trPr>
        <w:tc>
          <w:tcPr>
            <w:tcW w:w="2460" w:type="dxa"/>
          </w:tcPr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B65B9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  <w:p w:rsidR="00BB65B9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B79D0">
              <w:rPr>
                <w:rFonts w:ascii="Times New Roman" w:hAnsi="Times New Roman"/>
              </w:rPr>
              <w:t xml:space="preserve">фициальный сайт органа, </w:t>
            </w:r>
          </w:p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79D0">
              <w:rPr>
                <w:rFonts w:ascii="Times New Roman" w:hAnsi="Times New Roman"/>
              </w:rPr>
              <w:t xml:space="preserve"> официальный сайт многофункционального центра.</w:t>
            </w:r>
          </w:p>
        </w:tc>
        <w:tc>
          <w:tcPr>
            <w:tcW w:w="1820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  <w:p w:rsidR="00BB65B9" w:rsidRPr="00577FCC" w:rsidRDefault="00BB65B9" w:rsidP="00D65EFC">
            <w:pPr>
              <w:rPr>
                <w:rFonts w:ascii="Times New Roman" w:hAnsi="Times New Roman"/>
              </w:rPr>
            </w:pPr>
          </w:p>
          <w:p w:rsidR="00BB65B9" w:rsidRPr="00577FCC" w:rsidRDefault="00BB65B9" w:rsidP="00D65EFC">
            <w:pPr>
              <w:rPr>
                <w:rFonts w:ascii="Times New Roman" w:hAnsi="Times New Roman"/>
              </w:rPr>
            </w:pPr>
          </w:p>
          <w:p w:rsidR="00BB65B9" w:rsidRPr="00577FCC" w:rsidRDefault="00BB65B9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164" w:type="dxa"/>
          </w:tcPr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  <w:r w:rsidRPr="00577FCC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BB65B9" w:rsidRPr="00577FCC" w:rsidRDefault="00BB65B9" w:rsidP="00B8047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</w:tcPr>
          <w:p w:rsidR="00BB65B9" w:rsidRPr="00577FCC" w:rsidRDefault="00BB65B9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455" w:type="dxa"/>
          </w:tcPr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305F22">
      <w:pPr>
        <w:spacing w:line="240" w:lineRule="auto"/>
        <w:rPr>
          <w:rFonts w:ascii="Times New Roman" w:hAnsi="Times New Roman"/>
          <w:b/>
        </w:rPr>
      </w:pPr>
    </w:p>
    <w:p w:rsidR="00BB65B9" w:rsidRDefault="00BB65B9" w:rsidP="00305F22">
      <w:pPr>
        <w:spacing w:line="240" w:lineRule="auto"/>
        <w:rPr>
          <w:rFonts w:ascii="Times New Roman" w:hAnsi="Times New Roman"/>
          <w:b/>
        </w:rPr>
      </w:pPr>
    </w:p>
    <w:p w:rsidR="00BB65B9" w:rsidRPr="00ED1AE5" w:rsidRDefault="00BB65B9" w:rsidP="00BB65B9">
      <w:pPr>
        <w:spacing w:after="0" w:line="240" w:lineRule="auto"/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BB65B9" w:rsidRPr="00ED1AE5" w:rsidRDefault="00BB65B9" w:rsidP="00BB65B9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BB65B9" w:rsidRDefault="00BB65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65B9" w:rsidRDefault="00BB65B9" w:rsidP="00305F22">
      <w:pPr>
        <w:spacing w:line="240" w:lineRule="auto"/>
        <w:rPr>
          <w:rFonts w:ascii="Times New Roman" w:hAnsi="Times New Roman"/>
          <w:b/>
        </w:rPr>
        <w:sectPr w:rsidR="00BB65B9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224CFA" w:rsidRPr="009A0117" w:rsidRDefault="00224CFA" w:rsidP="00224CF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9A0117">
        <w:rPr>
          <w:rFonts w:ascii="Times New Roman" w:hAnsi="Times New Roman"/>
          <w:sz w:val="28"/>
          <w:szCs w:val="20"/>
        </w:rPr>
        <w:lastRenderedPageBreak/>
        <w:t>Приложение № 1</w:t>
      </w:r>
    </w:p>
    <w:p w:rsidR="00224CFA" w:rsidRPr="009A0117" w:rsidRDefault="00224CFA" w:rsidP="00224CF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proofErr w:type="gramStart"/>
      <w:r w:rsidRPr="009A0117">
        <w:rPr>
          <w:rFonts w:ascii="Times New Roman" w:hAnsi="Times New Roman"/>
          <w:sz w:val="28"/>
          <w:szCs w:val="20"/>
        </w:rPr>
        <w:t>к</w:t>
      </w:r>
      <w:proofErr w:type="gramEnd"/>
      <w:r w:rsidRPr="009A0117">
        <w:rPr>
          <w:rFonts w:ascii="Times New Roman" w:hAnsi="Times New Roman"/>
          <w:sz w:val="28"/>
          <w:szCs w:val="20"/>
        </w:rPr>
        <w:t xml:space="preserve"> технологической схеме</w:t>
      </w:r>
    </w:p>
    <w:p w:rsidR="00224CFA" w:rsidRPr="009A0117" w:rsidRDefault="00224CFA" w:rsidP="00224CF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A0117">
        <w:rPr>
          <w:rFonts w:ascii="Times New Roman" w:hAnsi="Times New Roman"/>
          <w:sz w:val="28"/>
          <w:szCs w:val="20"/>
        </w:rPr>
        <w:t>Форма заявления</w:t>
      </w: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22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Сторожевского сельского поселения Острогожского муниципального района Воронежской области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главы сельского поселения)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сокращенное (если имеется) наименование,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фирменное наименование, и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-правовая форма юридического лица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предпринимателя))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доверенности в интересах)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нахождения)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регистрационный  номер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(индивидуального предпринимателя))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внесения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Единый государственный  реестр юридических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(Единый государственный реестр индивидуальных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))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(ИНН юридического лица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предпринимателя))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о постановке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(индивидуального предпринимателя)</w:t>
      </w:r>
    </w:p>
    <w:p w:rsidR="00224CFA" w:rsidRDefault="00224CFA" w:rsidP="00224CFA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 в налоговом органе)</w:t>
      </w:r>
    </w:p>
    <w:p w:rsidR="00224CFA" w:rsidRDefault="00224CFA" w:rsidP="00224C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4CFA" w:rsidRDefault="00224CFA" w:rsidP="00224CFA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 в План проведения ярмарок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  <w:proofErr w:type="gramStart"/>
      <w:r>
        <w:rPr>
          <w:rFonts w:ascii="Times New Roman" w:hAnsi="Times New Roman"/>
          <w:sz w:val="28"/>
          <w:szCs w:val="28"/>
        </w:rPr>
        <w:t>ярмарку  по</w:t>
      </w:r>
      <w:proofErr w:type="gramEnd"/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указать  вид</w:t>
      </w:r>
      <w:proofErr w:type="gramEnd"/>
      <w:r>
        <w:rPr>
          <w:rFonts w:ascii="Times New Roman" w:hAnsi="Times New Roman"/>
          <w:sz w:val="28"/>
          <w:szCs w:val="28"/>
        </w:rPr>
        <w:t>: универсальная, специализированная, сезонная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адресу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__________________________________________________________________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ассортимент реализуемых товаров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сроком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  режимом работы _______________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емкостью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 торговых мест.</w:t>
      </w: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________ листах.</w:t>
      </w:r>
    </w:p>
    <w:p w:rsidR="00224CFA" w:rsidRDefault="00224CFA" w:rsidP="00224CFA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 20__ г.                            Подпись ___________</w:t>
      </w:r>
    </w:p>
    <w:p w:rsidR="00224CFA" w:rsidRDefault="00224CFA" w:rsidP="00224CFA">
      <w:pPr>
        <w:spacing w:line="240" w:lineRule="auto"/>
      </w:pPr>
    </w:p>
    <w:p w:rsidR="00224CFA" w:rsidRDefault="00224CFA" w:rsidP="00224C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24CFA" w:rsidRPr="009A0117" w:rsidRDefault="00224CFA" w:rsidP="00224CF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bookmarkStart w:id="2" w:name="Par712"/>
      <w:bookmarkStart w:id="3" w:name="Par814"/>
      <w:bookmarkEnd w:id="2"/>
      <w:bookmarkEnd w:id="3"/>
      <w:r>
        <w:rPr>
          <w:rFonts w:ascii="Times New Roman" w:hAnsi="Times New Roman"/>
          <w:sz w:val="28"/>
          <w:szCs w:val="20"/>
        </w:rPr>
        <w:t>Приложение № 2</w:t>
      </w:r>
    </w:p>
    <w:p w:rsidR="00224CFA" w:rsidRPr="009A0117" w:rsidRDefault="00224CFA" w:rsidP="00224CF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proofErr w:type="gramStart"/>
      <w:r w:rsidRPr="009A0117">
        <w:rPr>
          <w:rFonts w:ascii="Times New Roman" w:hAnsi="Times New Roman"/>
          <w:sz w:val="28"/>
          <w:szCs w:val="20"/>
        </w:rPr>
        <w:t>к</w:t>
      </w:r>
      <w:proofErr w:type="gramEnd"/>
      <w:r w:rsidRPr="009A0117">
        <w:rPr>
          <w:rFonts w:ascii="Times New Roman" w:hAnsi="Times New Roman"/>
          <w:sz w:val="28"/>
          <w:szCs w:val="20"/>
        </w:rPr>
        <w:t xml:space="preserve"> технологической схеме</w:t>
      </w:r>
    </w:p>
    <w:p w:rsidR="00224CFA" w:rsidRDefault="00224CFA" w:rsidP="00224C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</w:t>
      </w: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bookmarkStart w:id="4" w:name="Par819"/>
      <w:bookmarkEnd w:id="4"/>
      <w:r>
        <w:rPr>
          <w:rFonts w:ascii="Times New Roman" w:hAnsi="Times New Roman"/>
          <w:sz w:val="28"/>
          <w:szCs w:val="28"/>
        </w:rPr>
        <w:t>УВЕДОМЛЕНИЕ</w:t>
      </w: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устранения нарушений в оформлении заявления</w:t>
      </w: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представления отсутствующих документов</w:t>
      </w: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(если имеется) сокращенное наименования, в том числе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фирменное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(индивидуального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))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нахождения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24CFA" w:rsidRPr="00335776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Вами заявления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приложенных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нему  документов,  сообщаем,  что  они  не  соответствуют   требованиям, установленным  законодательством по  предоставлению  муниципальной  услуги «</w:t>
      </w:r>
      <w:r w:rsidRPr="00335776">
        <w:rPr>
          <w:rFonts w:ascii="Times New Roman" w:hAnsi="Times New Roman" w:cs="Times New Roman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776">
        <w:rPr>
          <w:rFonts w:ascii="Times New Roman" w:hAnsi="Times New Roman" w:cs="Times New Roman"/>
          <w:sz w:val="28"/>
          <w:szCs w:val="28"/>
        </w:rPr>
        <w:t>, а именно: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35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указанных  обстоятельств,  возвращаем   Вам   представленные заявление  и  приложенные  к  нему  документы  для  устранения   выявленных нарушений.</w:t>
      </w: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Сторожевского сельского поселения       ______________</w:t>
      </w:r>
    </w:p>
    <w:p w:rsidR="00224CFA" w:rsidRDefault="00224CFA" w:rsidP="00224CF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5" w:name="Par855"/>
      <w:bookmarkStart w:id="6" w:name="Par476"/>
      <w:bookmarkEnd w:id="5"/>
      <w:bookmarkEnd w:id="6"/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4CFA" w:rsidRPr="009A0117" w:rsidRDefault="00224CFA" w:rsidP="00224CF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Приложение № 3</w:t>
      </w:r>
    </w:p>
    <w:p w:rsidR="00224CFA" w:rsidRPr="009A0117" w:rsidRDefault="00224CFA" w:rsidP="00224CF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proofErr w:type="gramStart"/>
      <w:r w:rsidRPr="009A0117">
        <w:rPr>
          <w:rFonts w:ascii="Times New Roman" w:hAnsi="Times New Roman"/>
          <w:sz w:val="28"/>
          <w:szCs w:val="20"/>
        </w:rPr>
        <w:t>к</w:t>
      </w:r>
      <w:proofErr w:type="gramEnd"/>
      <w:r w:rsidRPr="009A0117">
        <w:rPr>
          <w:rFonts w:ascii="Times New Roman" w:hAnsi="Times New Roman"/>
          <w:sz w:val="28"/>
          <w:szCs w:val="20"/>
        </w:rPr>
        <w:t xml:space="preserve"> технологической схеме</w:t>
      </w: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</w:t>
      </w:r>
    </w:p>
    <w:p w:rsidR="00224CFA" w:rsidRDefault="00224CFA" w:rsidP="00224CFA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/>
          <w:sz w:val="28"/>
          <w:szCs w:val="28"/>
        </w:rPr>
      </w:pPr>
      <w:bookmarkStart w:id="7" w:name="Par603"/>
      <w:bookmarkEnd w:id="7"/>
      <w:r>
        <w:rPr>
          <w:rFonts w:ascii="Times New Roman" w:hAnsi="Times New Roman"/>
          <w:sz w:val="28"/>
          <w:szCs w:val="28"/>
        </w:rPr>
        <w:t>УВЕДОМЛЕНИЕ</w:t>
      </w:r>
    </w:p>
    <w:p w:rsidR="00224CFA" w:rsidRDefault="00224CFA" w:rsidP="00224CFA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(если имеется) сокращенное наименования, в том числе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фирменное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индивидуального предпринимателя)</w:t>
      </w:r>
    </w:p>
    <w:p w:rsidR="00224CFA" w:rsidRDefault="00224CFA" w:rsidP="00224CFA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в</w:t>
      </w:r>
      <w:r w:rsidRPr="00335776">
        <w:rPr>
          <w:rFonts w:ascii="Times New Roman" w:hAnsi="Times New Roman" w:cs="Times New Roman"/>
          <w:sz w:val="28"/>
          <w:szCs w:val="28"/>
        </w:rPr>
        <w:t>ключение</w:t>
      </w:r>
      <w:proofErr w:type="gramEnd"/>
      <w:r w:rsidRPr="00335776">
        <w:rPr>
          <w:rFonts w:ascii="Times New Roman" w:hAnsi="Times New Roman" w:cs="Times New Roman"/>
          <w:sz w:val="28"/>
          <w:szCs w:val="28"/>
        </w:rPr>
        <w:t xml:space="preserve">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самоуправления)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решение: (нужное заполнить)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включить  ярмарку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План проведения ярмарок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месторасположение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в пределах территории которого предполагается проведение ярмарки, тип ярмарки)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включению  ярмарки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План проведения ярмарок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месторасположение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в пределах территории которого предполагается проведение ярмарки, тип ярмарки)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4CFA" w:rsidRDefault="00224CFA" w:rsidP="00224CFA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отказа: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(я), установленное(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ч. 2 ст. 5 постановления  Правительства Воронежской области  от 02.02.2011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80 "Об утверждении Порядка организации ярмарок на территории Воронежской области и продажи товаров (выполнения работ, оказания услуг) на них"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24CFA" w:rsidRDefault="00224CFA" w:rsidP="00224CFA">
      <w:pPr>
        <w:pStyle w:val="ConsPlusNonforma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___________________      ______________________________</w:t>
      </w:r>
    </w:p>
    <w:p w:rsidR="00224CFA" w:rsidRDefault="00224CFA" w:rsidP="00224CFA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(Ф.И.О.)</w:t>
      </w:r>
    </w:p>
    <w:sectPr w:rsidR="00224CFA" w:rsidSect="00BB65B9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58" w:rsidRDefault="007E2058" w:rsidP="00F847AF">
      <w:pPr>
        <w:spacing w:after="0" w:line="240" w:lineRule="auto"/>
      </w:pPr>
      <w:r>
        <w:separator/>
      </w:r>
    </w:p>
  </w:endnote>
  <w:endnote w:type="continuationSeparator" w:id="0">
    <w:p w:rsidR="007E2058" w:rsidRDefault="007E2058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58" w:rsidRDefault="007E2058" w:rsidP="00F847AF">
      <w:pPr>
        <w:spacing w:after="0" w:line="240" w:lineRule="auto"/>
      </w:pPr>
      <w:r>
        <w:separator/>
      </w:r>
    </w:p>
  </w:footnote>
  <w:footnote w:type="continuationSeparator" w:id="0">
    <w:p w:rsidR="007E2058" w:rsidRDefault="007E2058" w:rsidP="00F847AF">
      <w:pPr>
        <w:spacing w:after="0" w:line="240" w:lineRule="auto"/>
      </w:pPr>
      <w:r>
        <w:continuationSeparator/>
      </w:r>
    </w:p>
  </w:footnote>
  <w:footnote w:id="1">
    <w:p w:rsidR="00577FCC" w:rsidRPr="00E752C6" w:rsidRDefault="00577FCC" w:rsidP="00577FCC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577FCC" w:rsidRDefault="00577FCC" w:rsidP="00577FCC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577FCC" w:rsidRDefault="00577FCC" w:rsidP="00577FCC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BF75AA" w:rsidRDefault="00BF75AA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форма и образец заявления указываются органом, предоставляющим услугу.</w:t>
      </w:r>
    </w:p>
  </w:footnote>
  <w:footnote w:id="5">
    <w:p w:rsidR="00BF75AA" w:rsidRPr="005257FF" w:rsidRDefault="00BF75AA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BF75AA" w:rsidRDefault="00BF75AA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B65B9" w:rsidRDefault="00BB65B9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BB65B9" w:rsidRDefault="00BB65B9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56D64DA"/>
    <w:multiLevelType w:val="hybridMultilevel"/>
    <w:tmpl w:val="A04E6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3337F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A1A"/>
    <w:rsid w:val="000860C6"/>
    <w:rsid w:val="00087A38"/>
    <w:rsid w:val="0009386E"/>
    <w:rsid w:val="000A3097"/>
    <w:rsid w:val="000A688A"/>
    <w:rsid w:val="000B1937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1008B"/>
    <w:rsid w:val="00111E3C"/>
    <w:rsid w:val="00114F6E"/>
    <w:rsid w:val="0011719D"/>
    <w:rsid w:val="00120B0A"/>
    <w:rsid w:val="00121825"/>
    <w:rsid w:val="00122F12"/>
    <w:rsid w:val="00123932"/>
    <w:rsid w:val="001256F2"/>
    <w:rsid w:val="001259CD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26C5"/>
    <w:rsid w:val="00224CFA"/>
    <w:rsid w:val="002266C3"/>
    <w:rsid w:val="00233369"/>
    <w:rsid w:val="00246D0E"/>
    <w:rsid w:val="00247506"/>
    <w:rsid w:val="002476DA"/>
    <w:rsid w:val="00247CBF"/>
    <w:rsid w:val="002545BA"/>
    <w:rsid w:val="00262AC7"/>
    <w:rsid w:val="00264FB0"/>
    <w:rsid w:val="00276E05"/>
    <w:rsid w:val="00292296"/>
    <w:rsid w:val="002941EF"/>
    <w:rsid w:val="002A245A"/>
    <w:rsid w:val="002A2731"/>
    <w:rsid w:val="002B1457"/>
    <w:rsid w:val="002C188E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87A58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A1CFC"/>
    <w:rsid w:val="004B17F3"/>
    <w:rsid w:val="004B1BF1"/>
    <w:rsid w:val="004B2BFF"/>
    <w:rsid w:val="004B4B75"/>
    <w:rsid w:val="004C11F2"/>
    <w:rsid w:val="004C361B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5640"/>
    <w:rsid w:val="005672FF"/>
    <w:rsid w:val="00567A14"/>
    <w:rsid w:val="00577FCC"/>
    <w:rsid w:val="00584100"/>
    <w:rsid w:val="005937F1"/>
    <w:rsid w:val="00593E7C"/>
    <w:rsid w:val="00594923"/>
    <w:rsid w:val="005A079E"/>
    <w:rsid w:val="005A1712"/>
    <w:rsid w:val="005A3313"/>
    <w:rsid w:val="005B106C"/>
    <w:rsid w:val="005B26FC"/>
    <w:rsid w:val="005B3576"/>
    <w:rsid w:val="005B5C8E"/>
    <w:rsid w:val="005C1769"/>
    <w:rsid w:val="005D4742"/>
    <w:rsid w:val="005E173B"/>
    <w:rsid w:val="005E24FA"/>
    <w:rsid w:val="005F2F29"/>
    <w:rsid w:val="00600F53"/>
    <w:rsid w:val="00603283"/>
    <w:rsid w:val="00605F05"/>
    <w:rsid w:val="00610E82"/>
    <w:rsid w:val="00634496"/>
    <w:rsid w:val="00635D81"/>
    <w:rsid w:val="00640807"/>
    <w:rsid w:val="00641B54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B9D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3B96"/>
    <w:rsid w:val="007476B7"/>
    <w:rsid w:val="007514FC"/>
    <w:rsid w:val="00753DE8"/>
    <w:rsid w:val="00754B13"/>
    <w:rsid w:val="00754EF2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EEE"/>
    <w:rsid w:val="007B71EB"/>
    <w:rsid w:val="007C685A"/>
    <w:rsid w:val="007C77E2"/>
    <w:rsid w:val="007D314E"/>
    <w:rsid w:val="007E17FE"/>
    <w:rsid w:val="007E2058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0A8B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6CEC"/>
    <w:rsid w:val="0093583C"/>
    <w:rsid w:val="00940929"/>
    <w:rsid w:val="00941051"/>
    <w:rsid w:val="009444DE"/>
    <w:rsid w:val="00946BBB"/>
    <w:rsid w:val="009524A7"/>
    <w:rsid w:val="00961817"/>
    <w:rsid w:val="009656EC"/>
    <w:rsid w:val="0097639E"/>
    <w:rsid w:val="00977EE1"/>
    <w:rsid w:val="009855C3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C6C42"/>
    <w:rsid w:val="009D57E5"/>
    <w:rsid w:val="009D66F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480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3820"/>
    <w:rsid w:val="00B54860"/>
    <w:rsid w:val="00B56B83"/>
    <w:rsid w:val="00B62F99"/>
    <w:rsid w:val="00B651F5"/>
    <w:rsid w:val="00B67273"/>
    <w:rsid w:val="00B71518"/>
    <w:rsid w:val="00B80478"/>
    <w:rsid w:val="00B87ACE"/>
    <w:rsid w:val="00B942AD"/>
    <w:rsid w:val="00B964F2"/>
    <w:rsid w:val="00BA052C"/>
    <w:rsid w:val="00BA4398"/>
    <w:rsid w:val="00BA63BA"/>
    <w:rsid w:val="00BB65B9"/>
    <w:rsid w:val="00BC0F13"/>
    <w:rsid w:val="00BC273D"/>
    <w:rsid w:val="00BC2EC3"/>
    <w:rsid w:val="00BC4ED3"/>
    <w:rsid w:val="00BD40AC"/>
    <w:rsid w:val="00BD4C6A"/>
    <w:rsid w:val="00BD57B9"/>
    <w:rsid w:val="00BE5295"/>
    <w:rsid w:val="00BE7577"/>
    <w:rsid w:val="00BF59F0"/>
    <w:rsid w:val="00BF6427"/>
    <w:rsid w:val="00BF75AA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1D6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1C3D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48FD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92200"/>
    <w:rsid w:val="00DA18D9"/>
    <w:rsid w:val="00DA74E8"/>
    <w:rsid w:val="00DC4B68"/>
    <w:rsid w:val="00DD0ACA"/>
    <w:rsid w:val="00DD19AE"/>
    <w:rsid w:val="00DD52CC"/>
    <w:rsid w:val="00DE3C61"/>
    <w:rsid w:val="00DE6534"/>
    <w:rsid w:val="00DF01EC"/>
    <w:rsid w:val="00DF3ED9"/>
    <w:rsid w:val="00DF734D"/>
    <w:rsid w:val="00E01CB2"/>
    <w:rsid w:val="00E04979"/>
    <w:rsid w:val="00E0768E"/>
    <w:rsid w:val="00E2543B"/>
    <w:rsid w:val="00E363A0"/>
    <w:rsid w:val="00E37355"/>
    <w:rsid w:val="00E4050B"/>
    <w:rsid w:val="00E405F2"/>
    <w:rsid w:val="00E5219D"/>
    <w:rsid w:val="00E52D44"/>
    <w:rsid w:val="00E53405"/>
    <w:rsid w:val="00E6039A"/>
    <w:rsid w:val="00E61B89"/>
    <w:rsid w:val="00E62930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ED63-071D-4DF9-829E-778B9E0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7F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24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9200-1BDF-43F1-8B2E-534DF403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6</cp:revision>
  <dcterms:created xsi:type="dcterms:W3CDTF">2016-12-02T10:50:00Z</dcterms:created>
  <dcterms:modified xsi:type="dcterms:W3CDTF">2016-12-05T07:32:00Z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