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r>
        <w:drawing>
          <wp:inline distT="0" distB="0" distL="114300" distR="114300">
            <wp:extent cx="570865" cy="685165"/>
            <wp:effectExtent l="0" t="0" r="825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4"/>
                    <a:stretch>
                      <a:fillRect/>
                    </a:stretch>
                  </pic:blipFill>
                  <pic:spPr>
                    <a:xfrm>
                      <a:off x="0" y="0"/>
                      <a:ext cx="570865" cy="685165"/>
                    </a:xfrm>
                    <a:prstGeom prst="rect">
                      <a:avLst/>
                    </a:prstGeom>
                    <a:solidFill>
                      <a:srgbClr val="FFFFFF"/>
                    </a:solidFill>
                    <a:ln>
                      <a:noFill/>
                    </a:ln>
                  </pic:spPr>
                </pic:pic>
              </a:graphicData>
            </a:graphic>
          </wp:inline>
        </w:drawing>
      </w: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both"/>
        <w:rPr>
          <w:rFonts w:hint="default" w:ascii="Times New Roman CYR" w:hAnsi="Times New Roman CYR" w:eastAsia="Times New Roman CYR" w:cs="Times New Roman CYR"/>
          <w:b w:val="0"/>
          <w:sz w:val="28"/>
          <w:szCs w:val="28"/>
          <w:lang w:val="ru-RU"/>
        </w:rPr>
      </w:pPr>
      <w:r>
        <w:rPr>
          <w:rFonts w:hint="default" w:ascii="Times New Roman CYR" w:hAnsi="Times New Roman CYR" w:eastAsia="Times New Roman CYR" w:cs="Times New Roman CYR"/>
          <w:b w:val="0"/>
          <w:sz w:val="28"/>
          <w:szCs w:val="28"/>
          <w:lang w:val="ru-RU"/>
        </w:rPr>
        <w:t xml:space="preserve">09.07.2020                                                                             </w:t>
      </w:r>
      <w:r>
        <w:rPr>
          <w:rFonts w:hint="default" w:ascii="Times New Roman CYR" w:hAnsi="Times New Roman CYR" w:eastAsia="Times New Roman CYR" w:cs="Times New Roman CYR"/>
          <w:b w:val="0"/>
          <w:sz w:val="28"/>
          <w:szCs w:val="28"/>
          <w:lang w:val="ru"/>
        </w:rPr>
        <w:t>№</w:t>
      </w:r>
      <w:r>
        <w:rPr>
          <w:rFonts w:hint="default" w:ascii="Times New Roman CYR" w:hAnsi="Times New Roman CYR" w:eastAsia="Times New Roman CYR" w:cs="Times New Roman CYR"/>
          <w:b w:val="0"/>
          <w:sz w:val="28"/>
          <w:szCs w:val="28"/>
          <w:lang w:val="ru-RU"/>
        </w:rPr>
        <w:t xml:space="preserve"> 355</w:t>
      </w:r>
    </w:p>
    <w:p>
      <w:pPr>
        <w:pStyle w:val="6"/>
        <w:keepNext w:val="0"/>
        <w:keepLines w:val="0"/>
        <w:widowControl/>
        <w:suppressLineNumbers w:val="0"/>
        <w:spacing w:after="0" w:afterAutospacing="0" w:line="240" w:lineRule="auto"/>
        <w:ind w:firstLine="4060" w:firstLineChars="1450"/>
        <w:jc w:val="both"/>
        <w:rPr>
          <w:b w:val="0"/>
        </w:rPr>
      </w:pPr>
      <w:bookmarkStart w:id="8" w:name="_GoBack"/>
      <w:bookmarkEnd w:id="8"/>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Pr>
        <w:pStyle w:val="23"/>
        <w:jc w:val="both"/>
        <w:rPr>
          <w:rFonts w:ascii="Times New Roman" w:hAnsi="Times New Roman"/>
          <w:b/>
          <w:sz w:val="28"/>
          <w:szCs w:val="28"/>
        </w:rPr>
      </w:pPr>
    </w:p>
    <w:p>
      <w:pPr>
        <w:pStyle w:val="23"/>
        <w:jc w:val="center"/>
        <w:rPr>
          <w:rFonts w:ascii="Times New Roman" w:hAnsi="Times New Roman"/>
          <w:b/>
          <w:sz w:val="28"/>
          <w:szCs w:val="28"/>
        </w:rPr>
      </w:pPr>
    </w:p>
    <w:p>
      <w:pPr>
        <w:pStyle w:val="23"/>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pPr>
        <w:pStyle w:val="2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r>
        <w:rPr>
          <w:rFonts w:ascii="Times New Roman" w:hAnsi="Times New Roman"/>
          <w:b/>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hAnsi="Times New Roman"/>
          <w:b/>
          <w:sz w:val="28"/>
          <w:szCs w:val="28"/>
        </w:rPr>
        <w:t>»</w:t>
      </w:r>
    </w:p>
    <w:p>
      <w:pPr>
        <w:spacing w:after="0" w:line="240" w:lineRule="auto"/>
        <w:jc w:val="center"/>
        <w:rPr>
          <w:b/>
          <w:bCs/>
          <w:sz w:val="48"/>
          <w:szCs w:val="48"/>
        </w:rPr>
      </w:pPr>
    </w:p>
    <w:p>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rFonts w:hint="default" w:ascii="Times New Roman" w:hAnsi="Times New Roman" w:cs="Times New Roman"/>
          <w:spacing w:val="-1"/>
          <w:sz w:val="28"/>
          <w:szCs w:val="28"/>
          <w:lang w:val="ru-RU"/>
        </w:rPr>
        <w:t xml:space="preserve">  Советского городского </w:t>
      </w:r>
      <w:r>
        <w:rPr>
          <w:rFonts w:ascii="Times New Roman" w:hAnsi="Times New Roman" w:cs="Times New Roman"/>
          <w:spacing w:val="-1"/>
          <w:sz w:val="28"/>
          <w:szCs w:val="28"/>
        </w:rPr>
        <w:t xml:space="preserve"> поселения ПОСТАНОВЛЯЕТ:</w:t>
      </w:r>
    </w:p>
    <w:p>
      <w:pPr>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hAnsi="Times New Roman" w:cs="Times New Roman"/>
          <w:sz w:val="28"/>
          <w:szCs w:val="28"/>
        </w:rPr>
        <w:t>» согласно приложению</w:t>
      </w:r>
      <w:r>
        <w:rPr>
          <w:rFonts w:ascii="Times New Roman" w:hAnsi="Times New Roman" w:cs="Times New Roman"/>
          <w:spacing w:val="-1"/>
          <w:sz w:val="28"/>
          <w:szCs w:val="28"/>
        </w:rPr>
        <w:t>.</w:t>
      </w:r>
    </w:p>
    <w:p>
      <w:pPr>
        <w:tabs>
          <w:tab w:val="left" w:pos="9354"/>
        </w:tabs>
        <w:suppressAutoHyphens/>
        <w:autoSpaceDE w:val="0"/>
        <w:autoSpaceDN w:val="0"/>
        <w:adjustRightInd w:val="0"/>
        <w:spacing w:after="0"/>
        <w:ind w:firstLine="709"/>
        <w:jc w:val="both"/>
        <w:rPr>
          <w:rFonts w:hint="default" w:ascii="Times New Roman" w:hAnsi="Times New Roman"/>
          <w:sz w:val="28"/>
          <w:szCs w:val="28"/>
          <w:lang w:val="ru-RU"/>
        </w:rPr>
      </w:pPr>
      <w:r>
        <w:rPr>
          <w:rFonts w:ascii="Times New Roman" w:hAnsi="Times New Roman" w:cs="Times New Roman"/>
          <w:sz w:val="28"/>
          <w:szCs w:val="28"/>
        </w:rPr>
        <w:t>2. Настоящее постановление вступает в силу со дня его официального опубликования</w:t>
      </w:r>
      <w:r>
        <w:rPr>
          <w:rFonts w:hint="default" w:ascii="Times New Roman" w:hAnsi="Times New Roman" w:cs="Times New Roman"/>
          <w:sz w:val="28"/>
          <w:szCs w:val="28"/>
          <w:lang w:val="ru-RU"/>
        </w:rPr>
        <w:t>.</w:t>
      </w: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 09.07.2020 </w:t>
      </w:r>
      <w:r>
        <w:rPr>
          <w:rFonts w:ascii="Times New Roman" w:hAnsi="Times New Roman" w:cs="Times New Roman"/>
          <w:sz w:val="28"/>
          <w:szCs w:val="28"/>
        </w:rPr>
        <w:t>№</w:t>
      </w:r>
      <w:r>
        <w:rPr>
          <w:rFonts w:hint="default" w:ascii="Times New Roman" w:hAnsi="Times New Roman" w:cs="Times New Roman"/>
          <w:sz w:val="28"/>
          <w:szCs w:val="28"/>
          <w:lang w:val="ru-RU"/>
        </w:rPr>
        <w:t xml:space="preserve">  355 </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hAnsi="Times New Roman"/>
          <w:b/>
          <w:sz w:val="28"/>
          <w:szCs w:val="28"/>
        </w:rPr>
        <w:t>»</w:t>
      </w:r>
    </w:p>
    <w:p>
      <w:pPr>
        <w:shd w:val="clear" w:color="auto" w:fill="FFFFFF"/>
        <w:spacing w:after="0" w:line="360" w:lineRule="auto"/>
        <w:jc w:val="center"/>
        <w:rPr>
          <w:rFonts w:ascii="Times New Roman" w:hAnsi="Times New Roman"/>
          <w:b/>
          <w:sz w:val="28"/>
          <w:szCs w:val="28"/>
        </w:rPr>
      </w:pPr>
    </w:p>
    <w:p>
      <w:pPr>
        <w:numPr>
          <w:ilvl w:val="0"/>
          <w:numId w:val="1"/>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ind w:firstLine="709"/>
        <w:rPr>
          <w:rFonts w:ascii="Times New Roman" w:hAnsi="Times New Roman"/>
          <w:b/>
          <w:bCs/>
          <w:sz w:val="28"/>
          <w:szCs w:val="28"/>
        </w:rPr>
      </w:pPr>
    </w:p>
    <w:p>
      <w:pPr>
        <w:pStyle w:val="15"/>
        <w:numPr>
          <w:ilvl w:val="1"/>
          <w:numId w:val="2"/>
        </w:numPr>
        <w:suppressAutoHyphens/>
        <w:ind w:left="0" w:firstLine="709"/>
        <w:jc w:val="both"/>
        <w:rPr>
          <w:b/>
          <w:bCs/>
          <w:sz w:val="28"/>
          <w:szCs w:val="28"/>
        </w:rPr>
      </w:pPr>
      <w:r>
        <w:rPr>
          <w:b/>
          <w:bCs/>
          <w:sz w:val="28"/>
          <w:szCs w:val="28"/>
        </w:rPr>
        <w:t>Предмет регулирования Административного регламента</w:t>
      </w:r>
    </w:p>
    <w:p>
      <w:pPr>
        <w:pStyle w:val="15"/>
        <w:suppressAutoHyphens/>
        <w:ind w:left="0" w:firstLine="709"/>
        <w:jc w:val="both"/>
        <w:rPr>
          <w:b/>
          <w:bCs/>
          <w:sz w:val="28"/>
          <w:szCs w:val="28"/>
        </w:rPr>
      </w:pP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Обмен земельных участков, расположенных на территории муниципального образования, на земельные участки, находящиеся в частной собственности» </w:t>
      </w:r>
      <w:r>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bCs/>
          <w:sz w:val="28"/>
          <w:szCs w:val="28"/>
        </w:rPr>
        <w:t>.</w:t>
      </w:r>
    </w:p>
    <w:p>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sz w:val="28"/>
          <w:szCs w:val="28"/>
        </w:rPr>
        <w:t>законе</w:t>
      </w:r>
      <w:r>
        <w:rPr>
          <w:rFonts w:ascii="Times New Roman" w:hAnsi="Times New Roman"/>
          <w:sz w:val="28"/>
          <w:szCs w:val="28"/>
        </w:rPr>
        <w:fldChar w:fldCharType="end"/>
      </w:r>
      <w:r>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(далее - Федеральный закон от 27.07.2010 № 210-ФЗ) </w:t>
      </w:r>
      <w:r>
        <w:rPr>
          <w:rFonts w:ascii="Times New Roman" w:hAnsi="Times New Roman" w:cs="Times New Roman"/>
          <w:bCs/>
          <w:iCs/>
          <w:sz w:val="28"/>
          <w:szCs w:val="28"/>
        </w:rPr>
        <w:t xml:space="preserve">и </w:t>
      </w:r>
      <w:r>
        <w:rPr>
          <w:rFonts w:ascii="Times New Roman" w:hAnsi="Times New Roman"/>
          <w:bCs/>
          <w:iCs/>
          <w:sz w:val="28"/>
          <w:szCs w:val="28"/>
        </w:rPr>
        <w:t>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jc w:val="both"/>
        <w:rPr>
          <w:rFonts w:ascii="Times New Roman" w:hAnsi="Times New Roman"/>
          <w:bCs/>
          <w:iCs/>
          <w:sz w:val="28"/>
          <w:szCs w:val="28"/>
        </w:rPr>
      </w:pPr>
    </w:p>
    <w:p>
      <w:pPr>
        <w:pStyle w:val="15"/>
        <w:numPr>
          <w:ilvl w:val="1"/>
          <w:numId w:val="2"/>
        </w:numPr>
        <w:suppressAutoHyphens/>
        <w:autoSpaceDE w:val="0"/>
        <w:ind w:left="0" w:firstLine="709"/>
        <w:jc w:val="both"/>
        <w:rPr>
          <w:b/>
          <w:sz w:val="28"/>
          <w:szCs w:val="28"/>
        </w:rPr>
      </w:pPr>
      <w:r>
        <w:rPr>
          <w:b/>
          <w:sz w:val="28"/>
          <w:szCs w:val="28"/>
        </w:rPr>
        <w:t>Круг заявителей</w:t>
      </w:r>
    </w:p>
    <w:p>
      <w:pPr>
        <w:pStyle w:val="15"/>
        <w:suppressAutoHyphens/>
        <w:autoSpaceDE w:val="0"/>
        <w:ind w:left="0" w:firstLine="709"/>
        <w:jc w:val="both"/>
        <w:rPr>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при п</w:t>
      </w:r>
      <w:r>
        <w:rPr>
          <w:rFonts w:ascii="Times New Roman" w:hAnsi="Times New Roman" w:cs="Times New Roman"/>
          <w:bCs/>
          <w:sz w:val="28"/>
          <w:szCs w:val="28"/>
        </w:rPr>
        <w:t xml:space="preserve">редоставлении муниципальной услуги является – </w:t>
      </w:r>
      <w:r>
        <w:rPr>
          <w:rFonts w:ascii="Times New Roman" w:hAnsi="Times New Roman" w:cs="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Pr>
          <w:rFonts w:ascii="Times New Roman" w:hAnsi="Times New Roman" w:cs="Times New Roman"/>
          <w:bCs/>
          <w:sz w:val="28"/>
          <w:szCs w:val="28"/>
        </w:rPr>
        <w:t xml:space="preserve">либо его уполномоченный представитель, </w:t>
      </w:r>
      <w:r>
        <w:rPr>
          <w:rFonts w:ascii="Times New Roman" w:hAnsi="Times New Roman" w:cs="Times New Roman"/>
          <w:sz w:val="28"/>
          <w:szCs w:val="28"/>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администраци</w:t>
      </w:r>
      <w:r>
        <w:rPr>
          <w:rFonts w:ascii="Times New Roman" w:hAnsi="Times New Roman" w:cs="Times New Roman"/>
          <w:sz w:val="28"/>
          <w:szCs w:val="28"/>
          <w:lang w:val="ru-RU"/>
        </w:rPr>
        <w:t>и</w:t>
      </w:r>
      <w:r>
        <w:rPr>
          <w:rFonts w:hint="default" w:ascii="Times New Roman" w:hAnsi="Times New Roman" w:cs="Times New Roman"/>
          <w:sz w:val="28"/>
          <w:szCs w:val="28"/>
          <w:lang w:val="ru-RU"/>
        </w:rPr>
        <w:t xml:space="preserve"> Советского городского </w:t>
      </w:r>
      <w:r>
        <w:rPr>
          <w:rFonts w:ascii="Times New Roman" w:hAnsi="Times New Roman" w:cs="Times New Roman"/>
          <w:sz w:val="28"/>
          <w:szCs w:val="28"/>
        </w:rPr>
        <w:t>поселения Советского района Кировской области</w:t>
      </w:r>
      <w:r>
        <w:rPr>
          <w:rFonts w:ascii="Times New Roman" w:hAnsi="Times New Roman" w:cs="Times New Roman"/>
          <w:color w:val="000000"/>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заявителя;</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5"/>
        <w:autoSpaceDE w:val="0"/>
        <w:autoSpaceDN w:val="0"/>
        <w:adjustRightInd w:val="0"/>
        <w:ind w:left="0" w:firstLine="709"/>
        <w:jc w:val="both"/>
        <w:rPr>
          <w:sz w:val="28"/>
          <w:szCs w:val="28"/>
        </w:rPr>
      </w:pPr>
      <w:r>
        <w:rPr>
          <w:sz w:val="28"/>
          <w:szCs w:val="28"/>
        </w:rPr>
        <w:t>на информационных стендах в местах предоставления муниципальной услуги.</w:t>
      </w:r>
    </w:p>
    <w:p>
      <w:pPr>
        <w:pStyle w:val="15"/>
        <w:autoSpaceDE w:val="0"/>
        <w:autoSpaceDN w:val="0"/>
        <w:adjustRightInd w:val="0"/>
        <w:ind w:left="0" w:firstLine="709"/>
        <w:jc w:val="both"/>
        <w:rPr>
          <w:sz w:val="28"/>
          <w:szCs w:val="28"/>
        </w:rPr>
      </w:pPr>
    </w:p>
    <w:p>
      <w:pPr>
        <w:pStyle w:val="15"/>
        <w:numPr>
          <w:ilvl w:val="0"/>
          <w:numId w:val="1"/>
        </w:numPr>
        <w:jc w:val="both"/>
        <w:rPr>
          <w:b/>
          <w:sz w:val="28"/>
          <w:szCs w:val="28"/>
        </w:rPr>
      </w:pPr>
      <w:r>
        <w:rPr>
          <w:b/>
          <w:sz w:val="28"/>
          <w:szCs w:val="28"/>
        </w:rPr>
        <w:t>Стандарт предоставления муниципальной услуги</w:t>
      </w:r>
    </w:p>
    <w:p>
      <w:pPr>
        <w:pStyle w:val="15"/>
        <w:ind w:left="1068"/>
        <w:jc w:val="both"/>
        <w:rPr>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hAnsi="Times New Roman"/>
          <w:sz w:val="28"/>
          <w:szCs w:val="28"/>
        </w:rPr>
        <w:t>».</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r>
      <w:r>
        <w:rPr>
          <w:rFonts w:ascii="Times New Roman" w:hAnsi="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hint="default" w:ascii="Times New Roman" w:hAnsi="Times New Roman"/>
          <w:bCs/>
          <w:sz w:val="28"/>
          <w:szCs w:val="28"/>
          <w:lang w:val="ru-RU"/>
        </w:rPr>
        <w:t xml:space="preserve">  Советское городское </w:t>
      </w:r>
      <w:r>
        <w:rPr>
          <w:rFonts w:ascii="Times New Roman" w:hAnsi="Times New Roman"/>
          <w:bCs/>
          <w:sz w:val="28"/>
          <w:szCs w:val="28"/>
        </w:rPr>
        <w:t xml:space="preserve"> поселение 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bCs/>
          <w:sz w:val="28"/>
          <w:szCs w:val="28"/>
        </w:rPr>
      </w:pPr>
    </w:p>
    <w:p>
      <w:pPr>
        <w:autoSpaceDE w:val="0"/>
        <w:autoSpaceDN w:val="0"/>
        <w:adjustRightInd w:val="0"/>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b/>
          <w:bCs/>
          <w:sz w:val="28"/>
          <w:szCs w:val="28"/>
        </w:rPr>
      </w:pPr>
    </w:p>
    <w:p>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заключение договора мены земельного участка, расположенного на территории муниципального образования, на земельный участок, находящийся в частной собственности (далее - договор мены);</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отказ в заключении договора мены.</w:t>
      </w:r>
    </w:p>
    <w:p>
      <w:pPr>
        <w:autoSpaceDE w:val="0"/>
        <w:autoSpaceDN w:val="0"/>
        <w:adjustRightInd w:val="0"/>
        <w:spacing w:after="0" w:line="240" w:lineRule="auto"/>
        <w:ind w:firstLine="709"/>
        <w:jc w:val="both"/>
        <w:rPr>
          <w:rFonts w:ascii="Times New Roman" w:hAnsi="Times New Roman"/>
          <w:sz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Максимальный срок предоставления муниципальной услуги не должен превышать 90 дней со дня поступления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r>
      <w:r>
        <w:rPr>
          <w:rFonts w:ascii="Times New Roman" w:hAnsi="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pPr>
        <w:spacing w:after="0" w:line="240" w:lineRule="auto"/>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r>
      <w:r>
        <w:rPr>
          <w:rFonts w:ascii="Times New Roman" w:hAnsi="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pStyle w:val="21"/>
        <w:shd w:val="clear" w:color="auto" w:fill="FFFFFF"/>
        <w:spacing w:before="0" w:beforeAutospacing="0" w:after="0" w:afterAutospacing="0"/>
        <w:ind w:firstLine="709"/>
        <w:jc w:val="both"/>
        <w:rPr>
          <w:sz w:val="28"/>
          <w:szCs w:val="28"/>
        </w:rPr>
      </w:pPr>
      <w:r>
        <w:rPr>
          <w:color w:val="000000"/>
          <w:sz w:val="28"/>
          <w:szCs w:val="28"/>
        </w:rPr>
        <w:t xml:space="preserve">2.6.1. </w:t>
      </w:r>
      <w:r>
        <w:rPr>
          <w:sz w:val="28"/>
          <w:szCs w:val="28"/>
        </w:rPr>
        <w:t>Документы, которые заявитель должен предоставить самостоятельно:</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заявление (приложение № 1 к настоящему Административному регламенту);</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копии документов, удостоверяющих личность заявителя и представителя заявителя;</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кадастровая выписка о земельном участке или кадастровый паспорт земельного участка;</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выписка из Единого государственного реестра недвижимости о правах на приобретаемый земельный участок (далее – ЕГРН);</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pPr>
        <w:pStyle w:val="21"/>
        <w:shd w:val="clear" w:color="auto" w:fill="FFFFFF"/>
        <w:spacing w:before="0" w:beforeAutospacing="0" w:after="0" w:afterAutospacing="0"/>
        <w:ind w:firstLine="709"/>
        <w:jc w:val="both"/>
        <w:rPr>
          <w:rFonts w:ascii="Arial" w:hAnsi="Arial" w:cs="Arial"/>
          <w:color w:val="000000"/>
          <w:sz w:val="20"/>
          <w:szCs w:val="20"/>
        </w:rPr>
      </w:pPr>
      <w:bookmarkStart w:id="0" w:name="P90"/>
      <w:bookmarkEnd w:id="0"/>
      <w:r>
        <w:rPr>
          <w:color w:val="000000"/>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2.6.4.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 xml:space="preserve">частью 6 </w:t>
      </w:r>
      <w:r>
        <w:rPr>
          <w:rFonts w:ascii="Times New Roman" w:hAnsi="Times New Roman" w:cs="Times New Roman"/>
          <w:sz w:val="28"/>
          <w:szCs w:val="28"/>
        </w:rPr>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1"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
    <w:p>
      <w:pPr>
        <w:autoSpaceDN w:val="0"/>
        <w:adjustRightInd w:val="0"/>
        <w:spacing w:after="0" w:line="240" w:lineRule="auto"/>
        <w:ind w:firstLine="709"/>
        <w:jc w:val="both"/>
        <w:rPr>
          <w:rFonts w:ascii="Times New Roman" w:hAnsi="Times New Roman" w:cs="Times New Roman"/>
          <w:sz w:val="28"/>
          <w:szCs w:val="28"/>
        </w:rPr>
      </w:pPr>
      <w:bookmarkStart w:id="2"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sz w:val="28"/>
          <w:szCs w:val="28"/>
        </w:rPr>
        <w:t xml:space="preserve">от 27.07.2010 </w:t>
      </w:r>
      <w:r>
        <w:rPr>
          <w:rFonts w:ascii="Times New Roman" w:hAnsi="Times New Roman" w:cs="Times New Roman"/>
          <w:sz w:val="28"/>
          <w:szCs w:val="28"/>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rPr>
        <w:t xml:space="preserve">от 27.07.2010 </w:t>
      </w:r>
      <w:r>
        <w:rPr>
          <w:rFonts w:ascii="Times New Roman" w:hAnsi="Times New Roman" w:cs="Times New Roman"/>
          <w:sz w:val="28"/>
          <w:szCs w:val="28"/>
        </w:rPr>
        <w:t>№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r>
      <w:r>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Заявление о предоставлении земельного участка подано в иной уполномоченный орган.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pPr>
        <w:autoSpaceDE w:val="0"/>
        <w:autoSpaceDN w:val="0"/>
        <w:adjustRightInd w:val="0"/>
        <w:spacing w:after="0" w:line="240" w:lineRule="auto"/>
        <w:ind w:left="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Основаниями для отказа в предоставлении муниципальной услуги являются: </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несоответствие заявления требованиям действующего законодательства и (или) настоящего Административного регламента.</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несоответствие цели обмена случаям, установленным статьей 39.21 Земельного кодекса Российской Федерации.</w:t>
      </w:r>
    </w:p>
    <w:p>
      <w:pPr>
        <w:autoSpaceDE w:val="0"/>
        <w:autoSpaceDN w:val="0"/>
        <w:adjustRightInd w:val="0"/>
        <w:spacing w:after="0" w:line="240" w:lineRule="auto"/>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hd w:val="clear" w:color="auto" w:fill="FFFFFF"/>
        <w:spacing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sz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b/>
          <w:bCs/>
          <w:sz w:val="28"/>
          <w:szCs w:val="28"/>
        </w:rPr>
      </w:pPr>
      <w:r>
        <w:rPr>
          <w:rFonts w:ascii="Times New Roman" w:hAnsi="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sz w:val="28"/>
          <w:szCs w:val="28"/>
        </w:rPr>
        <w:t>запроса</w:t>
      </w:r>
      <w:r>
        <w:rPr>
          <w:rFonts w:ascii="Times New Roman" w:hAnsi="Times New Roman"/>
          <w:sz w:val="28"/>
          <w:szCs w:val="28"/>
        </w:rPr>
        <w:fldChar w:fldCharType="end"/>
      </w:r>
      <w:r>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sz w:val="28"/>
          <w:szCs w:val="28"/>
        </w:rPr>
      </w:pPr>
      <w:r>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sz w:val="28"/>
          <w:szCs w:val="28"/>
        </w:rPr>
      </w:pP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2.17. Особенности предоставления муниципальной услуги в электронной форме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b/>
          <w:sz w:val="28"/>
          <w:szCs w:val="28"/>
        </w:rPr>
      </w:pPr>
    </w:p>
    <w:p>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b/>
          <w:sz w:val="28"/>
          <w:szCs w:val="28"/>
        </w:rPr>
      </w:pPr>
    </w:p>
    <w:p>
      <w:pPr>
        <w:pStyle w:val="15"/>
        <w:numPr>
          <w:ilvl w:val="2"/>
          <w:numId w:val="3"/>
        </w:numPr>
        <w:autoSpaceDE w:val="0"/>
        <w:autoSpaceDN w:val="0"/>
        <w:adjustRightInd w:val="0"/>
        <w:ind w:left="0" w:firstLine="709"/>
        <w:jc w:val="both"/>
        <w:rPr>
          <w:sz w:val="28"/>
          <w:szCs w:val="28"/>
        </w:rPr>
      </w:pPr>
      <w:bookmarkStart w:id="5" w:name="_Toc136321787"/>
      <w:bookmarkEnd w:id="5"/>
      <w:bookmarkStart w:id="6" w:name="_Toc136239813"/>
      <w:bookmarkEnd w:id="6"/>
      <w:bookmarkStart w:id="7" w:name="_Toc136151977"/>
      <w:bookmarkEnd w:id="7"/>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pStyle w:val="15"/>
        <w:numPr>
          <w:ilvl w:val="2"/>
          <w:numId w:val="3"/>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выдача документов.</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pPr>
        <w:autoSpaceDE w:val="0"/>
        <w:autoSpaceDN w:val="0"/>
        <w:adjustRightInd w:val="0"/>
        <w:spacing w:after="0" w:line="240" w:lineRule="auto"/>
        <w:ind w:firstLine="709"/>
        <w:jc w:val="both"/>
        <w:outlineLvl w:val="0"/>
        <w:rPr>
          <w:rFonts w:ascii="Times New Roman" w:hAnsi="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left="709"/>
        <w:jc w:val="both"/>
        <w:rPr>
          <w:rFonts w:ascii="Times New Roman" w:hAnsi="Times New Roman" w:cs="Times New Roman"/>
          <w:b/>
          <w:sz w:val="28"/>
          <w:szCs w:val="28"/>
        </w:rPr>
      </w:pPr>
    </w:p>
    <w:p>
      <w:pPr>
        <w:pStyle w:val="15"/>
        <w:numPr>
          <w:ilvl w:val="1"/>
          <w:numId w:val="4"/>
        </w:numPr>
        <w:shd w:val="clear" w:color="auto" w:fill="FFFFFF"/>
        <w:ind w:left="0" w:firstLine="709"/>
        <w:jc w:val="both"/>
        <w:rPr>
          <w:rFonts w:eastAsia="Times New Roman"/>
          <w:b/>
          <w:sz w:val="28"/>
          <w:szCs w:val="28"/>
          <w:shd w:val="clear" w:color="auto" w:fill="FFFFFF"/>
        </w:rPr>
      </w:pPr>
      <w:r>
        <w:rPr>
          <w:b/>
          <w:sz w:val="28"/>
          <w:szCs w:val="28"/>
        </w:rPr>
        <w:t xml:space="preserve">Описание последовательности административных действий при  </w:t>
      </w:r>
      <w:r>
        <w:rPr>
          <w:rFonts w:eastAsia="Times New Roman"/>
          <w:b/>
          <w:sz w:val="28"/>
          <w:szCs w:val="28"/>
          <w:shd w:val="clear" w:color="auto" w:fill="FFFFFF"/>
        </w:rPr>
        <w:t>принятии решения о предоставлении или об отказе в предоставлении муниципальной услуги</w:t>
      </w:r>
    </w:p>
    <w:p>
      <w:pPr>
        <w:pStyle w:val="15"/>
        <w:shd w:val="clear" w:color="auto" w:fill="FFFFFF"/>
        <w:ind w:left="1788"/>
        <w:jc w:val="both"/>
        <w:rPr>
          <w:rFonts w:eastAsia="Times New Roman"/>
          <w:b/>
          <w:sz w:val="28"/>
          <w:szCs w:val="28"/>
          <w:shd w:val="clear" w:color="auto" w:fill="FFFFFF"/>
        </w:rPr>
      </w:pPr>
    </w:p>
    <w:p>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5"/>
        <w:autoSpaceDE w:val="0"/>
        <w:autoSpaceDN w:val="0"/>
        <w:adjustRightInd w:val="0"/>
        <w:ind w:left="0" w:firstLine="709"/>
        <w:jc w:val="both"/>
        <w:rPr>
          <w:sz w:val="28"/>
          <w:szCs w:val="28"/>
        </w:rPr>
      </w:pPr>
      <w:r>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заключении договора мены, которое выдается (направляется) заявителю (Приложение №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отказе </w:t>
      </w:r>
      <w:r>
        <w:rPr>
          <w:rFonts w:ascii="Times New Roman" w:hAnsi="Times New Roman" w:cs="Times New Roman"/>
          <w:sz w:val="28"/>
          <w:szCs w:val="28"/>
        </w:rPr>
        <w:t>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не может превышать 3 дней.</w:t>
      </w:r>
    </w:p>
    <w:p>
      <w:pPr>
        <w:pStyle w:val="15"/>
        <w:numPr>
          <w:ilvl w:val="2"/>
          <w:numId w:val="4"/>
        </w:numPr>
        <w:autoSpaceDE w:val="0"/>
        <w:autoSpaceDN w:val="0"/>
        <w:adjustRightInd w:val="0"/>
        <w:ind w:left="0" w:firstLine="709"/>
        <w:jc w:val="both"/>
        <w:rPr>
          <w:sz w:val="28"/>
          <w:szCs w:val="28"/>
        </w:rPr>
      </w:pPr>
      <w:r>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3.4.3. 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pPr>
        <w:shd w:val="clear" w:color="auto" w:fill="FFFFFF"/>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8"/>
          <w:szCs w:val="28"/>
          <w:shd w:val="clear" w:color="auto" w:fill="FFFFFF"/>
        </w:rPr>
        <w:t>Максимальный срок исполнения данной процедуры составляет 65 дней.</w:t>
      </w:r>
    </w:p>
    <w:p>
      <w:pPr>
        <w:pStyle w:val="15"/>
        <w:numPr>
          <w:ilvl w:val="2"/>
          <w:numId w:val="4"/>
        </w:numPr>
        <w:shd w:val="clear" w:color="auto" w:fill="FFFFFF"/>
        <w:ind w:left="0" w:firstLine="709"/>
        <w:jc w:val="both"/>
        <w:rPr>
          <w:rFonts w:ascii="Arial" w:hAnsi="Arial" w:eastAsia="Times New Roman" w:cs="Arial"/>
          <w:sz w:val="20"/>
          <w:szCs w:val="20"/>
        </w:rPr>
      </w:pPr>
      <w:r>
        <w:rPr>
          <w:rFonts w:eastAsia="Times New Roman"/>
          <w:bCs/>
          <w:sz w:val="28"/>
          <w:szCs w:val="28"/>
          <w:shd w:val="clear" w:color="auto" w:fill="FFFFFF"/>
        </w:rPr>
        <w:t> Описание последовательности административных действий при заключении договора мены</w:t>
      </w:r>
    </w:p>
    <w:p>
      <w:pPr>
        <w:pStyle w:val="15"/>
        <w:shd w:val="clear" w:color="auto" w:fill="FFFFFF"/>
        <w:ind w:left="142" w:firstLine="567"/>
        <w:jc w:val="both"/>
        <w:rPr>
          <w:rFonts w:ascii="Arial" w:hAnsi="Arial" w:eastAsia="Times New Roman" w:cs="Arial"/>
          <w:sz w:val="20"/>
          <w:szCs w:val="20"/>
        </w:rPr>
      </w:pPr>
      <w:r>
        <w:rPr>
          <w:rFonts w:eastAsia="Times New Roman"/>
          <w:sz w:val="28"/>
          <w:szCs w:val="28"/>
          <w:shd w:val="clear" w:color="auto" w:fill="FFFFFF"/>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w:t>
      </w:r>
    </w:p>
    <w:p>
      <w:pPr>
        <w:pStyle w:val="15"/>
        <w:shd w:val="clear" w:color="auto" w:fill="FFFFFF"/>
        <w:ind w:left="0" w:firstLine="709"/>
        <w:jc w:val="both"/>
        <w:rPr>
          <w:rFonts w:ascii="Arial" w:hAnsi="Arial" w:eastAsia="Times New Roman" w:cs="Arial"/>
          <w:sz w:val="20"/>
          <w:szCs w:val="20"/>
        </w:rPr>
      </w:pPr>
      <w:r>
        <w:rPr>
          <w:rFonts w:eastAsia="Times New Roman"/>
          <w:sz w:val="28"/>
          <w:szCs w:val="28"/>
          <w:shd w:val="clear" w:color="auto" w:fill="FFFFFF"/>
        </w:rPr>
        <w:t>Специалист, ответственный за предоставление муниципальной услуги, готовит проект договора мены в 3 экземплярах.</w:t>
      </w:r>
    </w:p>
    <w:p>
      <w:pPr>
        <w:pStyle w:val="15"/>
        <w:shd w:val="clear" w:color="auto" w:fill="FFFFFF"/>
        <w:ind w:left="0" w:firstLine="709"/>
        <w:jc w:val="both"/>
        <w:rPr>
          <w:rFonts w:ascii="Arial" w:hAnsi="Arial" w:eastAsia="Times New Roman" w:cs="Arial"/>
          <w:sz w:val="20"/>
          <w:szCs w:val="20"/>
        </w:rPr>
      </w:pPr>
      <w:r>
        <w:rPr>
          <w:rFonts w:eastAsia="Times New Roman"/>
          <w:sz w:val="28"/>
          <w:szCs w:val="28"/>
          <w:shd w:val="clear" w:color="auto" w:fill="FFFFFF"/>
        </w:rPr>
        <w:t>Результатом выполнения административной процедуры является подготовка проекта договора мены.</w:t>
      </w:r>
    </w:p>
    <w:p>
      <w:pPr>
        <w:pStyle w:val="15"/>
        <w:shd w:val="clear" w:color="auto" w:fill="FFFFFF"/>
        <w:ind w:left="0" w:firstLine="709"/>
        <w:jc w:val="both"/>
        <w:rPr>
          <w:rFonts w:ascii="Arial" w:hAnsi="Arial" w:eastAsia="Times New Roman" w:cs="Arial"/>
          <w:sz w:val="20"/>
          <w:szCs w:val="20"/>
        </w:rPr>
      </w:pPr>
      <w:r>
        <w:rPr>
          <w:rFonts w:eastAsia="Times New Roman"/>
          <w:sz w:val="28"/>
          <w:szCs w:val="28"/>
          <w:shd w:val="clear" w:color="auto" w:fill="FFFFFF"/>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pPr>
        <w:widowControl w:val="0"/>
        <w:autoSpaceDE w:val="0"/>
        <w:autoSpaceDN w:val="0"/>
        <w:adjustRightInd w:val="0"/>
        <w:spacing w:after="0" w:line="240" w:lineRule="auto"/>
        <w:ind w:firstLine="709"/>
        <w:jc w:val="both"/>
        <w:rPr>
          <w:rFonts w:ascii="Times New Roman" w:hAnsi="Times New Roman"/>
          <w:sz w:val="28"/>
          <w:szCs w:val="28"/>
        </w:rPr>
      </w:pPr>
    </w:p>
    <w:p>
      <w:pPr>
        <w:pStyle w:val="15"/>
        <w:numPr>
          <w:ilvl w:val="1"/>
          <w:numId w:val="5"/>
        </w:numPr>
        <w:autoSpaceDE w:val="0"/>
        <w:autoSpaceDN w:val="0"/>
        <w:adjustRightInd w:val="0"/>
        <w:ind w:left="0" w:firstLine="709"/>
        <w:jc w:val="both"/>
        <w:outlineLvl w:val="0"/>
        <w:rPr>
          <w:b/>
          <w:sz w:val="28"/>
          <w:szCs w:val="28"/>
        </w:rPr>
      </w:pPr>
      <w:r>
        <w:rPr>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b/>
          <w:sz w:val="28"/>
          <w:szCs w:val="28"/>
        </w:rPr>
      </w:pPr>
    </w:p>
    <w:p>
      <w:pPr>
        <w:pStyle w:val="2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Pr>
          <w:rFonts w:eastAsiaTheme="majorEastAsia"/>
          <w:sz w:val="28"/>
          <w:szCs w:val="28"/>
        </w:rPr>
        <w:t>подразделе 2.4</w:t>
      </w:r>
      <w:r>
        <w:rPr>
          <w:color w:val="000000"/>
          <w:sz w:val="28"/>
          <w:szCs w:val="28"/>
        </w:rPr>
        <w:t>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i/>
          <w:sz w:val="28"/>
          <w:szCs w:val="28"/>
        </w:rPr>
      </w:pPr>
      <w:r>
        <w:rPr>
          <w:rFonts w:ascii="Times New Roman" w:hAnsi="Times New Roman" w:eastAsia="Times New Roman"/>
          <w:sz w:val="28"/>
          <w:szCs w:val="28"/>
        </w:rPr>
        <w:t>Максимальный срок выполнения действий не может превышать двух рабочих дней</w:t>
      </w:r>
      <w:r>
        <w:rPr>
          <w:rFonts w:ascii="Times New Roman" w:hAnsi="Times New Roman" w:eastAsia="Times New Roman"/>
          <w:i/>
          <w:sz w:val="28"/>
          <w:szCs w:val="28"/>
        </w:rPr>
        <w:t>.</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приеме и регистрации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направлении межведомственных запросов.</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fldChar w:fldCharType="begin"/>
      </w:r>
      <w:r>
        <w:instrText xml:space="preserve"> HYPERLINK \l "P183" </w:instrText>
      </w:r>
      <w:r>
        <w:fldChar w:fldCharType="separate"/>
      </w:r>
      <w:r>
        <w:rPr>
          <w:rFonts w:ascii="Times New Roman" w:hAnsi="Times New Roman" w:cs="Times New Roman"/>
          <w:sz w:val="28"/>
          <w:szCs w:val="28"/>
        </w:rPr>
        <w:t>подразделом 3.3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3.6.4. Описание последовательности действий при </w:t>
      </w:r>
      <w:r>
        <w:rPr>
          <w:rFonts w:ascii="Times New Roman" w:hAnsi="Times New Roman" w:eastAsia="Times New Roman" w:cs="Times New Roman"/>
          <w:sz w:val="28"/>
          <w:szCs w:val="28"/>
          <w:shd w:val="clear" w:color="auto" w:fill="FFFFFF"/>
        </w:rPr>
        <w:t>принятии решения о предоставлении или об отказе в предоставлении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3.4</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3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3.6.5. Описание последовательности действий при </w:t>
      </w:r>
      <w:r>
        <w:rPr>
          <w:rFonts w:ascii="Times New Roman" w:hAnsi="Times New Roman"/>
          <w:sz w:val="28"/>
          <w:szCs w:val="28"/>
        </w:rPr>
        <w:t>направлении (выдаче) документов заявителю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w:t>
      </w:r>
      <w:r>
        <w:rPr>
          <w:rFonts w:ascii="Times New Roman" w:hAnsi="Times New Roman" w:cs="Times New Roman"/>
          <w:sz w:val="28"/>
          <w:szCs w:val="28"/>
        </w:rPr>
        <w:fldChar w:fldCharType="end"/>
      </w:r>
      <w:r>
        <w:rPr>
          <w:rFonts w:ascii="Times New Roman" w:hAnsi="Times New Roman" w:cs="Times New Roman"/>
          <w:sz w:val="28"/>
          <w:szCs w:val="28"/>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pStyle w:val="19"/>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color w:val="000000"/>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cs="Times New Roman"/>
          <w:bCs/>
          <w:sz w:val="28"/>
          <w:szCs w:val="28"/>
        </w:rPr>
      </w:pPr>
    </w:p>
    <w:p>
      <w:pPr>
        <w:pStyle w:val="19"/>
        <w:ind w:firstLine="709"/>
        <w:jc w:val="both"/>
        <w:rPr>
          <w:rFonts w:ascii="Times New Roman" w:hAnsi="Times New Roman"/>
          <w:b/>
          <w:sz w:val="28"/>
          <w:szCs w:val="28"/>
        </w:rPr>
      </w:pPr>
      <w:r>
        <w:rPr>
          <w:rFonts w:ascii="Times New Roman" w:hAnsi="Times New Roman"/>
          <w:b/>
          <w:sz w:val="28"/>
          <w:szCs w:val="28"/>
        </w:rPr>
        <w:t>3.9. Порядок отзыва заявления о предоставлении муниципальной услуги</w:t>
      </w:r>
    </w:p>
    <w:p>
      <w:pPr>
        <w:pStyle w:val="19"/>
        <w:ind w:firstLine="709"/>
        <w:jc w:val="both"/>
        <w:rPr>
          <w:rFonts w:ascii="Times New Roman" w:hAnsi="Times New Roman"/>
          <w:b/>
          <w:sz w:val="28"/>
          <w:szCs w:val="28"/>
        </w:rPr>
      </w:pPr>
    </w:p>
    <w:p>
      <w:pPr>
        <w:pStyle w:val="19"/>
        <w:ind w:firstLine="709"/>
        <w:jc w:val="both"/>
        <w:rPr>
          <w:rFonts w:ascii="Times New Roman" w:hAnsi="Times New Roman"/>
          <w:sz w:val="28"/>
          <w:szCs w:val="28"/>
        </w:rPr>
      </w:pPr>
      <w:r>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pStyle w:val="19"/>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администрации направляет заявителю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в течение 7 дней с момента поступления заявления об отзыве.</w:t>
      </w:r>
    </w:p>
    <w:p>
      <w:pPr>
        <w:autoSpaceDE w:val="0"/>
        <w:autoSpaceDN w:val="0"/>
        <w:adjustRightInd w:val="0"/>
        <w:spacing w:after="0" w:line="240" w:lineRule="auto"/>
        <w:ind w:firstLine="709"/>
        <w:jc w:val="both"/>
        <w:rPr>
          <w:rFonts w:ascii="Times New Roman" w:hAnsi="Times New Roman"/>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w:t>
      </w:r>
      <w:r>
        <w:rPr>
          <w:rFonts w:hint="default" w:ascii="Times New Roman" w:hAnsi="Times New Roman" w:cs="Times New Roman"/>
          <w:bCs/>
          <w:sz w:val="28"/>
          <w:szCs w:val="28"/>
          <w:lang w:val="ru-RU"/>
        </w:rPr>
        <w:t xml:space="preserve"> Советского   городского </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autoSpaceDN w:val="0"/>
        <w:adjustRightInd w:val="0"/>
        <w:spacing w:after="0" w:line="240" w:lineRule="auto"/>
        <w:rPr>
          <w:rFonts w:ascii="Times New Roman" w:hAnsi="Times New Roman"/>
          <w:sz w:val="20"/>
          <w:szCs w:val="20"/>
        </w:rPr>
      </w:pPr>
    </w:p>
    <w:p>
      <w:pPr>
        <w:widowControl w:val="0"/>
        <w:autoSpaceDE w:val="0"/>
        <w:spacing w:after="0" w:line="360" w:lineRule="auto"/>
        <w:jc w:val="center"/>
        <w:rPr>
          <w:rFonts w:ascii="Times New Roman" w:hAnsi="Times New Roman"/>
          <w:sz w:val="28"/>
        </w:rPr>
      </w:pPr>
      <w:r>
        <w:rPr>
          <w:rFonts w:ascii="Times New Roman" w:hAnsi="Times New Roman"/>
          <w:sz w:val="28"/>
        </w:rPr>
        <w:t>_______________</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r>
        <mc:AlternateContent>
          <mc:Choice Requires="wps">
            <w:drawing>
              <wp:anchor distT="0" distB="0" distL="114935" distR="114935" simplePos="0" relativeHeight="251660288" behindDoc="0" locked="0" layoutInCell="1" allowOverlap="1">
                <wp:simplePos x="0" y="0"/>
                <wp:positionH relativeFrom="column">
                  <wp:posOffset>2567940</wp:posOffset>
                </wp:positionH>
                <wp:positionV relativeFrom="paragraph">
                  <wp:posOffset>-139065</wp:posOffset>
                </wp:positionV>
                <wp:extent cx="3295650" cy="4021455"/>
                <wp:effectExtent l="0" t="0" r="11430" b="1905"/>
                <wp:wrapTopAndBottom/>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3295650" cy="417195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поселения</w:t>
                            </w:r>
                            <w:r>
                              <w:rPr>
                                <w:rFonts w:ascii="Times New Roman" w:hAnsi="Times New Roman"/>
                                <w:sz w:val="24"/>
                                <w:szCs w:val="24"/>
                              </w:rPr>
                              <w:t xml:space="preserve"> </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02.2pt;margin-top:-10.95pt;height:316.65pt;width:259.5pt;mso-wrap-distance-bottom:0pt;mso-wrap-distance-top:0pt;z-index:251660288;mso-width-relative:page;mso-height-relative:page;" fillcolor="#FFFFFF" filled="t" stroked="f" coordsize="21600,21600" o:gfxdata="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R2uLraAAAACwEAAA8AAAAAAAAAAQAgAAAAIgAAAGRycy9kb3ducmV2&#10;LnhtbFBLAQIUABQAAAAIAIdO4kCMG6Xm+gEAAO4DAAAOAAAAAAAAAAEAIAAAACkBAABkcnMvZTJv&#10;RG9jLnhtbFBLBQYAAAAABgAGAFkBAACV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поселения</w:t>
                      </w:r>
                      <w:r>
                        <w:rPr>
                          <w:rFonts w:ascii="Times New Roman" w:hAnsi="Times New Roman"/>
                          <w:sz w:val="24"/>
                          <w:szCs w:val="24"/>
                        </w:rPr>
                        <w:t xml:space="preserve"> </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v:textbox>
                <w10:wrap type="topAndBottom"/>
              </v:shape>
            </w:pict>
          </mc:Fallback>
        </mc:AlternateContent>
      </w:r>
    </w:p>
    <w:tbl>
      <w:tblPr>
        <w:tblStyle w:val="9"/>
        <w:tblW w:w="9494" w:type="dxa"/>
        <w:jc w:val="center"/>
        <w:tblLayout w:type="fixed"/>
        <w:tblCellMar>
          <w:top w:w="75" w:type="dxa"/>
          <w:left w:w="0" w:type="dxa"/>
          <w:bottom w:w="75" w:type="dxa"/>
          <w:right w:w="0" w:type="dxa"/>
        </w:tblCellMar>
      </w:tblPr>
      <w:tblGrid>
        <w:gridCol w:w="1700"/>
        <w:gridCol w:w="1559"/>
        <w:gridCol w:w="578"/>
        <w:gridCol w:w="911"/>
        <w:gridCol w:w="1906"/>
        <w:gridCol w:w="1435"/>
        <w:gridCol w:w="1405"/>
      </w:tblGrid>
      <w:tr>
        <w:tblPrEx>
          <w:tblCellMar>
            <w:top w:w="75" w:type="dxa"/>
            <w:left w:w="0" w:type="dxa"/>
            <w:bottom w:w="75" w:type="dxa"/>
            <w:right w:w="0" w:type="dxa"/>
          </w:tblCellMar>
        </w:tblPrEx>
        <w:trPr>
          <w:trHeight w:val="228" w:hRule="atLeast"/>
          <w:jc w:val="center"/>
        </w:trPr>
        <w:tc>
          <w:tcPr>
            <w:tcW w:w="9494" w:type="dxa"/>
            <w:gridSpan w:val="7"/>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r>
              <w:rPr>
                <w:rFonts w:ascii="Times New Roman" w:hAnsi="Times New Roman" w:eastAsia="Lucida Sans Unicode"/>
                <w:bCs/>
                <w:kern w:val="1"/>
                <w:sz w:val="28"/>
                <w:szCs w:val="28"/>
                <w:lang w:eastAsia="ar-SA"/>
              </w:rPr>
              <w:t>ЗАЯВЛЕНИЕ</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p>
        </w:tc>
      </w:tr>
      <w:tr>
        <w:tblPrEx>
          <w:tblCellMar>
            <w:top w:w="75" w:type="dxa"/>
            <w:left w:w="0" w:type="dxa"/>
            <w:bottom w:w="75" w:type="dxa"/>
            <w:right w:w="0" w:type="dxa"/>
          </w:tblCellMar>
        </w:tblPrEx>
        <w:trPr>
          <w:trHeight w:val="228" w:hRule="atLeast"/>
          <w:jc w:val="center"/>
        </w:trPr>
        <w:tc>
          <w:tcPr>
            <w:tcW w:w="9494"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Times New Roman" w:cs="Times New Roman"/>
                <w:sz w:val="24"/>
                <w:szCs w:val="24"/>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531" w:hRule="atLeast"/>
          <w:jc w:val="center"/>
        </w:trPr>
        <w:tc>
          <w:tcPr>
            <w:tcW w:w="4748"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(условный) номер земельного участка</w:t>
            </w:r>
          </w:p>
        </w:tc>
        <w:tc>
          <w:tcPr>
            <w:tcW w:w="4746"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578" w:hRule="atLeast"/>
          <w:jc w:val="center"/>
        </w:trPr>
        <w:tc>
          <w:tcPr>
            <w:tcW w:w="4748"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cs="Times New Roman"/>
                <w:bCs/>
                <w:kern w:val="1"/>
                <w:sz w:val="24"/>
                <w:szCs w:val="24"/>
                <w:lang w:eastAsia="ar-SA"/>
              </w:rPr>
            </w:pPr>
            <w:r>
              <w:rPr>
                <w:rFonts w:ascii="Times New Roman" w:hAnsi="Times New Roman" w:cs="Times New Roman"/>
                <w:sz w:val="24"/>
                <w:szCs w:val="24"/>
              </w:rPr>
              <w:t xml:space="preserve">Адрес (местоположение):   </w:t>
            </w:r>
          </w:p>
        </w:tc>
        <w:tc>
          <w:tcPr>
            <w:tcW w:w="4746"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451" w:hRule="atLeast"/>
          <w:jc w:val="center"/>
        </w:trPr>
        <w:tc>
          <w:tcPr>
            <w:tcW w:w="4748"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Площадь:</w:t>
            </w:r>
          </w:p>
        </w:tc>
        <w:tc>
          <w:tcPr>
            <w:tcW w:w="4746"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Полное наименование заявителя (юридическое лицо)</w:t>
            </w:r>
          </w:p>
        </w:tc>
        <w:tc>
          <w:tcPr>
            <w:tcW w:w="7794" w:type="dxa"/>
            <w:gridSpan w:val="6"/>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94" w:type="dxa"/>
            <w:gridSpan w:val="6"/>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94" w:type="dxa"/>
            <w:gridSpan w:val="6"/>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83" w:hRule="atLeast"/>
          <w:jc w:val="center"/>
        </w:trPr>
        <w:tc>
          <w:tcPr>
            <w:tcW w:w="3837"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ОГРН:</w:t>
            </w: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565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ИНН(за исключением случаев, если заявителем является иностранное юридическое лицо):</w:t>
            </w:r>
          </w:p>
        </w:tc>
      </w:tr>
      <w:tr>
        <w:tblPrEx>
          <w:tblCellMar>
            <w:top w:w="75" w:type="dxa"/>
            <w:left w:w="0" w:type="dxa"/>
            <w:bottom w:w="75" w:type="dxa"/>
            <w:right w:w="0" w:type="dxa"/>
          </w:tblCellMar>
        </w:tblPrEx>
        <w:trPr>
          <w:jc w:val="center"/>
        </w:trPr>
        <w:tc>
          <w:tcPr>
            <w:tcW w:w="325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148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4746"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 (при наличии)</w:t>
            </w:r>
          </w:p>
        </w:tc>
      </w:tr>
      <w:tr>
        <w:tblPrEx>
          <w:tblCellMar>
            <w:top w:w="75" w:type="dxa"/>
            <w:left w:w="0" w:type="dxa"/>
            <w:bottom w:w="75" w:type="dxa"/>
            <w:right w:w="0" w:type="dxa"/>
          </w:tblCellMar>
        </w:tblPrEx>
        <w:trPr>
          <w:trHeight w:val="322" w:hRule="atLeast"/>
          <w:jc w:val="center"/>
        </w:trPr>
        <w:tc>
          <w:tcPr>
            <w:tcW w:w="3259"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9"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46"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259"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9"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46"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519" w:hRule="atLeast"/>
          <w:jc w:val="center"/>
        </w:trPr>
        <w:tc>
          <w:tcPr>
            <w:tcW w:w="9494"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tblPrEx>
          <w:tblCellMar>
            <w:top w:w="75" w:type="dxa"/>
            <w:left w:w="0" w:type="dxa"/>
            <w:bottom w:w="75" w:type="dxa"/>
            <w:right w:w="0" w:type="dxa"/>
          </w:tblCellMar>
        </w:tblPrEx>
        <w:trPr>
          <w:trHeight w:val="24" w:hRule="atLeast"/>
          <w:jc w:val="center"/>
        </w:trPr>
        <w:tc>
          <w:tcPr>
            <w:tcW w:w="325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148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4746"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CellMar>
            <w:top w:w="75" w:type="dxa"/>
            <w:left w:w="0" w:type="dxa"/>
            <w:bottom w:w="75" w:type="dxa"/>
            <w:right w:w="0" w:type="dxa"/>
          </w:tblCellMar>
        </w:tblPrEx>
        <w:trPr>
          <w:trHeight w:val="322" w:hRule="atLeast"/>
          <w:jc w:val="center"/>
        </w:trPr>
        <w:tc>
          <w:tcPr>
            <w:tcW w:w="3259"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9"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46"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259"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9"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46"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51" w:hRule="atLeast"/>
          <w:jc w:val="center"/>
        </w:trPr>
        <w:tc>
          <w:tcPr>
            <w:tcW w:w="9494"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tc>
      </w:tr>
      <w:tr>
        <w:tblPrEx>
          <w:tblCellMar>
            <w:top w:w="75" w:type="dxa"/>
            <w:left w:w="0" w:type="dxa"/>
            <w:bottom w:w="75" w:type="dxa"/>
            <w:right w:w="0" w:type="dxa"/>
          </w:tblCellMar>
        </w:tblPrEx>
        <w:trPr>
          <w:trHeight w:val="347"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vAlign w:val="cente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Документы, прилагаемые к заявлению:</w:t>
            </w:r>
          </w:p>
        </w:tc>
        <w:tc>
          <w:tcPr>
            <w:tcW w:w="1405" w:type="dxa"/>
            <w:tcBorders>
              <w:top w:val="single" w:color="auto" w:sz="4" w:space="0"/>
              <w:left w:val="single" w:color="auto" w:sz="4" w:space="0"/>
              <w:bottom w:val="single" w:color="auto" w:sz="4" w:space="0"/>
              <w:right w:val="single" w:color="auto" w:sz="4" w:space="0"/>
            </w:tcBorders>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Отметка о наличии</w:t>
            </w: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eastAsia="Times New Roman" w:cs="Times New Roman"/>
                <w:sz w:val="24"/>
                <w:szCs w:val="24"/>
              </w:rPr>
              <w:t>*кадастровая выписка о земельном участке или кадастровый паспорт земельного участка</w:t>
            </w:r>
          </w:p>
        </w:tc>
        <w:tc>
          <w:tcPr>
            <w:tcW w:w="14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*выписка из ЕГРН</w:t>
            </w:r>
          </w:p>
          <w:p>
            <w:pPr>
              <w:autoSpaceDE w:val="0"/>
              <w:autoSpaceDN w:val="0"/>
              <w:adjustRightInd w:val="0"/>
              <w:spacing w:after="0" w:line="240" w:lineRule="auto"/>
              <w:jc w:val="both"/>
              <w:rPr>
                <w:rFonts w:ascii="Times New Roman" w:hAnsi="Times New Roman"/>
                <w:sz w:val="24"/>
                <w:szCs w:val="24"/>
              </w:rPr>
            </w:pPr>
          </w:p>
        </w:tc>
        <w:tc>
          <w:tcPr>
            <w:tcW w:w="14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jc w:val="center"/>
        </w:trPr>
        <w:tc>
          <w:tcPr>
            <w:tcW w:w="9494"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CellMar>
            <w:top w:w="75" w:type="dxa"/>
            <w:left w:w="0" w:type="dxa"/>
            <w:bottom w:w="75" w:type="dxa"/>
            <w:right w:w="0" w:type="dxa"/>
          </w:tblCellMar>
        </w:tblPrEx>
        <w:trPr>
          <w:jc w:val="center"/>
        </w:trPr>
        <w:tc>
          <w:tcPr>
            <w:tcW w:w="6654"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Подпись</w:t>
            </w:r>
          </w:p>
        </w:tc>
        <w:tc>
          <w:tcPr>
            <w:tcW w:w="2840"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Дата</w:t>
            </w:r>
          </w:p>
        </w:tc>
      </w:tr>
      <w:tr>
        <w:tblPrEx>
          <w:tblCellMar>
            <w:top w:w="75" w:type="dxa"/>
            <w:left w:w="0" w:type="dxa"/>
            <w:bottom w:w="75" w:type="dxa"/>
            <w:right w:w="0" w:type="dxa"/>
          </w:tblCellMar>
        </w:tblPrEx>
        <w:trPr>
          <w:trHeight w:val="339" w:hRule="atLeast"/>
          <w:jc w:val="center"/>
        </w:trPr>
        <w:tc>
          <w:tcPr>
            <w:tcW w:w="6654"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840"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39" w:hRule="atLeast"/>
          <w:jc w:val="center"/>
        </w:trPr>
        <w:tc>
          <w:tcPr>
            <w:tcW w:w="9494" w:type="dxa"/>
            <w:gridSpan w:val="7"/>
            <w:tcMar>
              <w:top w:w="62" w:type="dxa"/>
              <w:left w:w="102" w:type="dxa"/>
              <w:bottom w:w="102" w:type="dxa"/>
              <w:right w:w="62" w:type="dxa"/>
            </w:tcMar>
          </w:tcPr>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10"/>
              <w:tblpPr w:leftFromText="180" w:rightFromText="180" w:vertAnchor="text" w:horzAnchor="margin" w:tblpY="23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rPr>
              <mc:AlternateContent>
                <mc:Choice Requires="wps">
                  <w:drawing>
                    <wp:anchor distT="0" distB="0" distL="114935" distR="114935" simplePos="0" relativeHeight="251662336" behindDoc="0" locked="0" layoutInCell="1" allowOverlap="1">
                      <wp:simplePos x="0" y="0"/>
                      <wp:positionH relativeFrom="column">
                        <wp:posOffset>584200</wp:posOffset>
                      </wp:positionH>
                      <wp:positionV relativeFrom="paragraph">
                        <wp:posOffset>-348615</wp:posOffset>
                      </wp:positionV>
                      <wp:extent cx="2281555" cy="791845"/>
                      <wp:effectExtent l="0" t="0" r="4445" b="635"/>
                      <wp:wrapTopAndBottom/>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46pt;margin-top:-27.45pt;height:62.35pt;width:179.65pt;mso-wrap-distance-bottom:0pt;mso-wrap-distance-top:0pt;z-index:251662336;mso-width-relative:page;mso-height-relative:page;" fillcolor="#FFFFFF" filled="t" stroked="f" coordsize="21600,21600" o:gfxdata="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0RIlM2QAAAAkBAAAPAAAAAAAAAAEAIAAAACIAAABkcnMvZG93bnJl&#10;di54bWxQSwECFAAUAAAACACHTuJAn1rgofwBAADtAwAADgAAAAAAAAABACAAAAAoAQAAZHJzL2Uy&#10;b0RvYy54bWxQSwUGAAAAAAYABgBZAQAAlg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5"/>
                              <w:tabs>
                                <w:tab w:val="left" w:pos="426"/>
                              </w:tabs>
                              <w:ind w:left="0"/>
                            </w:pPr>
                          </w:p>
                          <w:p>
                            <w:pPr>
                              <w:pStyle w:val="15"/>
                              <w:tabs>
                                <w:tab w:val="left" w:pos="426"/>
                              </w:tabs>
                              <w:ind w:left="0"/>
                            </w:pPr>
                          </w:p>
                        </w:txbxContent>
                      </v:textbox>
                      <w10:wrap type="topAndBottom"/>
                    </v:shape>
                  </w:pict>
                </mc:Fallback>
              </mc:AlternateContent>
            </w: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Советского</w:t>
            </w:r>
            <w:r>
              <w:rPr>
                <w:rFonts w:hint="default" w:ascii="Times New Roman" w:hAnsi="Times New Roman" w:cs="Times New Roman"/>
                <w:sz w:val="28"/>
                <w:szCs w:val="28"/>
                <w:lang w:val="ru-RU"/>
              </w:rPr>
              <w:t xml:space="preserve"> городского </w:t>
            </w:r>
          </w:p>
          <w:p>
            <w:pPr>
              <w:spacing w:after="0" w:line="240" w:lineRule="auto"/>
              <w:jc w:val="both"/>
              <w:rPr>
                <w:rFonts w:ascii="Times New Roman" w:hAnsi="Times New Roman" w:cs="Times New Roman"/>
              </w:rPr>
            </w:pPr>
            <w:r>
              <w:rPr>
                <w:rFonts w:ascii="Times New Roman" w:hAnsi="Times New Roman" w:cs="Times New Roman"/>
                <w:sz w:val="28"/>
                <w:szCs w:val="28"/>
              </w:rPr>
              <w:t xml:space="preserve"> поселения </w:t>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sz w:val="24"/>
                <w:szCs w:val="24"/>
              </w:rPr>
            </w:pP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pPr>
        <w:jc w:val="center"/>
      </w:pPr>
    </w:p>
    <w:p>
      <w:pPr>
        <w:jc w:val="center"/>
      </w:pPr>
    </w:p>
    <w:p>
      <w:r>
        <mc:AlternateContent>
          <mc:Choice Requires="wps">
            <w:drawing>
              <wp:anchor distT="0" distB="0" distL="114935" distR="114935" simplePos="0" relativeHeight="251663360" behindDoc="0" locked="0" layoutInCell="1" allowOverlap="1">
                <wp:simplePos x="0" y="0"/>
                <wp:positionH relativeFrom="column">
                  <wp:posOffset>2472690</wp:posOffset>
                </wp:positionH>
                <wp:positionV relativeFrom="paragraph">
                  <wp:posOffset>-128905</wp:posOffset>
                </wp:positionV>
                <wp:extent cx="3629025" cy="4029075"/>
                <wp:effectExtent l="0" t="0" r="13335" b="9525"/>
                <wp:wrapTopAndBottom/>
                <wp:docPr id="1" name="Text Box 8"/>
                <wp:cNvGraphicFramePr/>
                <a:graphic xmlns:a="http://schemas.openxmlformats.org/drawingml/2006/main">
                  <a:graphicData uri="http://schemas.microsoft.com/office/word/2010/wordprocessingShape">
                    <wps:wsp>
                      <wps:cNvSpPr txBox="1">
                        <a:spLocks noChangeArrowheads="1"/>
                      </wps:cNvSpPr>
                      <wps:spPr bwMode="auto">
                        <a:xfrm>
                          <a:off x="0" y="0"/>
                          <a:ext cx="3629025" cy="402907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194.7pt;margin-top:-10.15pt;height:317.25pt;width:285.75pt;mso-wrap-distance-bottom:0pt;mso-wrap-distance-top:0pt;z-index:251663360;mso-width-relative:page;mso-height-relative:page;" fillcolor="#FFFFFF" filled="t" stroked="f" coordsize="21600,21600" o:gfxdata="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YFRR/ZAAAACwEAAA8AAAAAAAAAAQAgAAAAIgAAAGRycy9kb3ducmV2&#10;LnhtbFBLAQIUABQAAAAIAIdO4kBIbvui+wEAAO4DAAAOAAAAAAAAAAEAIAAAACgBAABkcnMvZTJv&#10;RG9jLnhtbFBLBQYAAAAABgAGAFkBAACV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v:textbox>
                <w10:wrap type="topAndBottom"/>
              </v:shape>
            </w:pict>
          </mc:Fallback>
        </mc:AlternateConten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2"/>
        <w:widowControl/>
        <w:ind w:firstLine="709"/>
        <w:jc w:val="both"/>
        <w:rPr>
          <w:rFonts w:ascii="Times New Roman" w:hAnsi="Times New Roman"/>
          <w:b w:val="0"/>
          <w:sz w:val="28"/>
          <w:szCs w:val="28"/>
        </w:rPr>
      </w:pPr>
      <w:r>
        <w:rPr>
          <w:rFonts w:ascii="Times New Roman" w:hAnsi="Times New Roman"/>
          <w:b w:val="0"/>
          <w:sz w:val="28"/>
          <w:szCs w:val="28"/>
        </w:rPr>
        <w:t>Прошу внести изменение в договор мены земельных  участков __________________________________________________________________,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договора </w:t>
      </w:r>
      <w:r>
        <w:rPr>
          <w:rFonts w:ascii="Times New Roman" w:hAnsi="Times New Roman" w:cs="Times New Roman"/>
          <w:bCs/>
          <w:sz w:val="24"/>
          <w:szCs w:val="24"/>
          <w:vertAlign w:val="superscript"/>
        </w:rPr>
        <w:t>мены)</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pPr>
        <w:jc w:val="cente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006E3C5C"/>
    <w:lvl w:ilvl="0" w:tentative="0">
      <w:start w:val="3"/>
      <w:numFmt w:val="decimal"/>
      <w:lvlText w:val="%1."/>
      <w:lvlJc w:val="left"/>
      <w:pPr>
        <w:ind w:left="450" w:hanging="450"/>
      </w:pPr>
      <w:rPr>
        <w:rFonts w:hint="default"/>
      </w:rPr>
    </w:lvl>
    <w:lvl w:ilvl="1" w:tentative="0">
      <w:start w:val="5"/>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2">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3">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ascii="Times New Roman" w:hAnsi="Times New Roman" w:cs="Times New Roman"/>
        <w:b w:val="0"/>
        <w:sz w:val="28"/>
        <w:szCs w:val="28"/>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C4"/>
    <w:rsid w:val="000344B9"/>
    <w:rsid w:val="00051128"/>
    <w:rsid w:val="00103B23"/>
    <w:rsid w:val="00222231"/>
    <w:rsid w:val="002A1480"/>
    <w:rsid w:val="002C2B93"/>
    <w:rsid w:val="00375FA5"/>
    <w:rsid w:val="003E0CA9"/>
    <w:rsid w:val="006316C4"/>
    <w:rsid w:val="00740A8B"/>
    <w:rsid w:val="007B2CC6"/>
    <w:rsid w:val="008B5BF2"/>
    <w:rsid w:val="00AC54BC"/>
    <w:rsid w:val="00C0635C"/>
    <w:rsid w:val="3C5965BF"/>
    <w:rsid w:val="523C0B62"/>
    <w:rsid w:val="5D651EF5"/>
    <w:rsid w:val="6A40071D"/>
    <w:rsid w:val="71FA396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qFormat/>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qFormat/>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uiPriority w:val="99"/>
    <w:rPr>
      <w:rFonts w:ascii="Times New Roman" w:hAnsi="Times New Roman" w:eastAsia="Calibri" w:cs="Times New Roman"/>
      <w:sz w:val="24"/>
      <w:szCs w:val="24"/>
      <w:lang w:eastAsia="ru-RU"/>
    </w:rPr>
  </w:style>
  <w:style w:type="paragraph" w:customStyle="1" w:styleId="14">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rPr>
  </w:style>
  <w:style w:type="paragraph" w:styleId="15">
    <w:name w:val="List Paragraph"/>
    <w:basedOn w:val="1"/>
    <w:qFormat/>
    <w:uiPriority w:val="34"/>
    <w:pPr>
      <w:spacing w:after="0" w:line="240" w:lineRule="auto"/>
      <w:ind w:left="720"/>
      <w:contextualSpacing/>
    </w:pPr>
    <w:rPr>
      <w:rFonts w:ascii="Times New Roman" w:hAnsi="Times New Roman" w:eastAsia="Calibri" w:cs="Times New Roman"/>
      <w:sz w:val="24"/>
      <w:szCs w:val="24"/>
    </w:rPr>
  </w:style>
  <w:style w:type="character" w:customStyle="1" w:styleId="16">
    <w:name w:val="Заголовок 2 Знак"/>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qFormat/>
    <w:locked/>
    <w:uiPriority w:val="0"/>
    <w:rPr>
      <w:rFonts w:ascii="Arial" w:hAnsi="Arial" w:eastAsia="Calibri" w:cs="Arial"/>
      <w:sz w:val="20"/>
      <w:szCs w:val="20"/>
    </w:rPr>
  </w:style>
  <w:style w:type="paragraph" w:customStyle="1" w:styleId="2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24">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36</Pages>
  <Words>10940</Words>
  <Characters>62360</Characters>
  <Lines>519</Lines>
  <Paragraphs>146</Paragraphs>
  <TotalTime>6</TotalTime>
  <ScaleCrop>false</ScaleCrop>
  <LinksUpToDate>false</LinksUpToDate>
  <CharactersWithSpaces>73154</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2020-06-09T04:14:00Z</dcterms:created>
  <dc:creator>User</dc:creator>
  <cp:lastModifiedBy>Elena</cp:lastModifiedBy>
  <cp:lastPrinted>2020-07-09T04:55:00Z</cp:lastPrinted>
  <dcterms:modified xsi:type="dcterms:W3CDTF">2020-07-14T07:49:13Z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