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МУНИЦИПАЛЬНОГО ОБРАЗОВАНИЯ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ВОЗДВИЖЕНСКИЙ СЕЛЬСОВЕТ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ПОНОМАРЕВСКОГО  РАЙОНА 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ОРЕНБУРГСКОЙ  ОБЛАСТИ                      </w:t>
      </w:r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</w:t>
      </w:r>
    </w:p>
    <w:p w:rsidR="00FA4C29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              ПОСТАНОВЛЕНИЕ</w:t>
      </w:r>
    </w:p>
    <w:p w:rsidR="00FA4C29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C29" w:rsidRPr="001967B1" w:rsidRDefault="00885443" w:rsidP="00FA4C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02 . 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6/1</w:t>
      </w:r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spellStart"/>
      <w:proofErr w:type="gramStart"/>
      <w:r w:rsidR="00FA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</w:p>
    <w:p w:rsidR="00FA4C29" w:rsidRPr="001967B1" w:rsidRDefault="00FA4C29" w:rsidP="00FA4C2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             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комплексного развития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коммунальной  инфраструктуры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Воздвиженский   сельсовет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на 2019-2024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29" w:rsidRDefault="00FA4C29" w:rsidP="00FA4C2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4C29" w:rsidRPr="00B40077" w:rsidRDefault="00FA4C29" w:rsidP="00FA4C2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5FB1">
        <w:rPr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</w:t>
      </w:r>
      <w:r>
        <w:rPr>
          <w:sz w:val="28"/>
          <w:szCs w:val="28"/>
        </w:rPr>
        <w:t xml:space="preserve"> Воздвиженский сельсовет </w:t>
      </w:r>
      <w:r w:rsidRPr="00AF5FB1">
        <w:rPr>
          <w:sz w:val="28"/>
          <w:szCs w:val="28"/>
        </w:rPr>
        <w:t xml:space="preserve"> и Устава</w:t>
      </w:r>
      <w:r>
        <w:rPr>
          <w:sz w:val="28"/>
          <w:szCs w:val="28"/>
        </w:rPr>
        <w:t xml:space="preserve"> муниципального образования Воздвиженский сельсовет Пономаревского района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AF5FB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постановляю :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1">
        <w:rPr>
          <w:rFonts w:ascii="Times New Roman" w:eastAsia="Times New Roman" w:hAnsi="Times New Roman" w:cs="Times New Roman"/>
          <w:sz w:val="28"/>
          <w:szCs w:val="28"/>
        </w:rPr>
        <w:t>1.Утве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рдить  муниципальную программу </w:t>
      </w:r>
      <w:r w:rsidRPr="0019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комплексного развития системы коммунальной инфраструктуры муниципального образования Воздвиженский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Пономаревского  района</w:t>
      </w:r>
      <w:r w:rsidRPr="0019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  области</w:t>
      </w:r>
      <w:r w:rsidRPr="0019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2019-2024</w:t>
      </w:r>
      <w:r w:rsidRPr="0019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</w:t>
      </w:r>
      <w:r w:rsidRPr="001967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4C29" w:rsidRDefault="00FA4C29" w:rsidP="00FA4C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№ 68-п от 27.10.2017 года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комплексного развития</w:t>
      </w:r>
    </w:p>
    <w:p w:rsidR="00FA4C29" w:rsidRPr="00FA4C29" w:rsidRDefault="00FA4C29" w:rsidP="00FA4C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коммунальной  инфраструктуры  муниципального образования  Воздвиженский   сельсовет  Пономаревского района 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A4C29" w:rsidRDefault="00FA4C29" w:rsidP="00FA4C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23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на официальном сайте  в сети Интернет. </w:t>
      </w:r>
    </w:p>
    <w:p w:rsidR="00FA4C29" w:rsidRPr="00B40077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B400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A4C29" w:rsidRPr="00B40077" w:rsidRDefault="00FA4C29" w:rsidP="00FA4C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 после его обнародования.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C29" w:rsidRPr="00B40077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4C29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4C29" w:rsidRPr="00FA4C29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сельсовета                                                          В.И.Молчанова</w:t>
      </w:r>
    </w:p>
    <w:p w:rsidR="00FA4C29" w:rsidRDefault="00FA4C29"/>
    <w:p w:rsidR="00FA4C29" w:rsidRPr="00B40077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A4C29" w:rsidRPr="00B40077" w:rsidRDefault="00FA4C29" w:rsidP="00FA4C2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Утверждено</w:t>
      </w:r>
    </w:p>
    <w:p w:rsidR="00FA4C29" w:rsidRPr="00B40077" w:rsidRDefault="00FA4C29" w:rsidP="00FA4C2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A4C29" w:rsidRPr="00B40077" w:rsidRDefault="00FA4C29" w:rsidP="00FA4C2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Воздвиженского</w:t>
      </w:r>
      <w:r w:rsidRPr="00B4007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A4C29" w:rsidRPr="00B40077" w:rsidRDefault="00FA4C29" w:rsidP="00FA4C2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85443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 </w:t>
      </w:r>
      <w:r w:rsidR="00885443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.2019       № </w:t>
      </w:r>
      <w:r w:rsidR="00885443">
        <w:rPr>
          <w:rFonts w:ascii="Times New Roman" w:eastAsia="Times New Roman" w:hAnsi="Times New Roman" w:cs="Times New Roman"/>
          <w:sz w:val="28"/>
          <w:szCs w:val="28"/>
        </w:rPr>
        <w:t>6/1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FA4C29" w:rsidRPr="001967B1" w:rsidRDefault="00FA4C29" w:rsidP="00FA4C2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007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4C29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коммунальной инфраструктуры</w:t>
      </w:r>
    </w:p>
    <w:p w:rsidR="00FA4C29" w:rsidRPr="002312D0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муниципального образования Воздвиженский сельсовет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Пономаревского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  области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на 2019-2024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tabs>
          <w:tab w:val="left" w:pos="27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ПАСПОРТ</w:t>
      </w:r>
    </w:p>
    <w:p w:rsidR="00FA4C29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комплексного развития систем коммунальной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 муниципального образования  Воздвиженский сельсовет Пономаревского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 </w:t>
      </w:r>
      <w:r w:rsidR="000F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Оренбургской  области на 2019-2024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проблемы и обоснование необходимости ее решения программными методами.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2.1.Кратк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характеристика территории муниципального образования Воздвиженский сельсовет.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2.2.Охрана окружающей среды.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2.3.Санитарная очистка территории.</w:t>
      </w:r>
    </w:p>
    <w:p w:rsidR="00FA4C29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2.4.Характеристика состояния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водоснабжения и газоснабжения.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 Характеристика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 системы электроснабжения муниципального образования Воздвиженский сельсовет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Характеристика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 системы теплоснабжения муниципального образования Воздвиженский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цели и задачи реализации Программы.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4.Этапы развития Программы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Важнейшие целевые индикаторы и показатели  эффективности реализации     Программы, основные направления финансирования по модернизации объектов коммунальной инфраструктуры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реализации Программы и оценка их эффективности.</w:t>
      </w:r>
    </w:p>
    <w:p w:rsidR="00FA4C29" w:rsidRPr="00C3729F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4C29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C3729F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9C0C8F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proofErr w:type="gramStart"/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Т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комплексного развития систем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коммунальной инфраструктуры</w:t>
      </w:r>
    </w:p>
    <w:p w:rsidR="00FA4C29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Воздвиженский сельсовет</w:t>
      </w:r>
    </w:p>
    <w:p w:rsidR="00FA4C29" w:rsidRPr="00C3729F" w:rsidRDefault="00FA4C29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Пономаревского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района  Оренбургской области</w:t>
      </w:r>
    </w:p>
    <w:p w:rsidR="00FA4C29" w:rsidRPr="00C3729F" w:rsidRDefault="000F550E" w:rsidP="00FA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2019-2024</w:t>
      </w:r>
      <w:r w:rsidR="00FA4C29"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9"/>
        <w:gridCol w:w="7076"/>
      </w:tblGrid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комплексного развития систем коммунальной инфраст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руктуры  муниципального образования Воздвиженский сельсовет Пономаревского </w:t>
            </w: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</w:t>
            </w:r>
            <w:r w:rsidR="000F5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 Оренбургской области на 2019 - 2024</w:t>
            </w: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  (дале</w:t>
            </w:r>
            <w:proofErr w:type="gramStart"/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Программа)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муниципального образования  Воздвиженский сельсовет Пономаревского </w:t>
            </w: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  области</w:t>
            </w:r>
            <w:proofErr w:type="gramStart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0F550E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="00FA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C29"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эффективного функционирования и развития систем коммунальной инфраструктуры;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модернизация коммунальных систем;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надежности работы действующих объектов коммунального хозяйства;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-Взаимосвязанное перспективное планирование развития коммунальных систем;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и надежное обеспечение наиболее экономичным образом потребителей коммунальными услугами в соответствии с требованиями действующих норм и стандартов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-Строительство, реконструкция сетей систем водоснабжения;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-Реконструкция и модернизация тепловых источников и тепловых сетей;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-Строительство систем газоснабжения</w:t>
            </w:r>
            <w:proofErr w:type="gramStart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развитие электрических сетей;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системы сбора, вывоза и размещения (утилизации) твердых бытовых отходов.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средств: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-федерального бюджета;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-областного бюджета;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-районного бюджета;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Воздвиженский сельсовет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-организаций коммунального хозяйства;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-внебюджетных источников.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объектов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 инфраструктуры;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-Бесперебойное обеспечение централизованным электроснабжением, газоснабжением,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теплоснабжением территории  Воздвиженского сельсовета</w:t>
            </w:r>
            <w:proofErr w:type="gramStart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качественных показателей питьевой воды;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количества потребителей</w:t>
            </w:r>
            <w:proofErr w:type="gramStart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объема сбора </w:t>
            </w: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за предоставленные услуги ;</w:t>
            </w:r>
          </w:p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экологической ситуации.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Воздвиженский сельсовет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Воздвиженский сельсовет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Воздвиженский сельсовет</w:t>
            </w:r>
          </w:p>
        </w:tc>
      </w:tr>
    </w:tbl>
    <w:p w:rsidR="00FA4C29" w:rsidRPr="00C3729F" w:rsidRDefault="00FA4C29" w:rsidP="00FA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систем коммуналь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инфраструктуры 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поселения.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все коммунальные системы поселения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проблемные точки и в условиях ограниченности ресурсов оптимизировать их для решения наиболее острых проблем поселения;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необходимой базой для разработки производственных и инвестиционных программ организаций коммунального комплекса, которые, в свою очередь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обоснованием для установления тарифов;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-необходимое условие для получения финансовой поддержки на федеральном уровне.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целью развития систем коммунальной инфраструктуры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надежности и эффективности работы систем жилищно-коммунального хозяйства и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 . Основной задачей комплексного развития </w:t>
      </w:r>
      <w:r w:rsidR="000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на период до 2024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является повышение надежности и качества функционирования существующих коммунальных систем, их модернизация и развитие ; повышение качества и надежности оказываемых потребителям коммунальных услуг 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;э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нергосбережение и рациональное использование ресурсов.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образования, как обновление материальной базы субъектов коммунальной инфраструктуры, повышение надежности и эффективности их функционирования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позволит четко обозначить направления структурных преобразований данной сферы экономики и улучшить экологи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обстановку на территории муниципального образования Воздвиженский сельсовет.</w:t>
      </w:r>
    </w:p>
    <w:p w:rsidR="00FA4C29" w:rsidRPr="008737A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2.СОДЕРЖАНИЕ ПРОБЛЕМЫ И ОБОСНОВАНИЕ НЕОБХОДИМОСТИ ЕЕ РЕШЕНИЯ ПРОГРАММНЫМИ МЕТОДАМИ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недостаточной обеспеченности бюджета поселения капитального ремонта коммунальной инфраструктуры осуществлялся не в полном объеме, В результате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хронического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недоремонта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состояние объектов коммунальной инфраструктуры сельского поселения характеризуется высокой степенью износа основного и вспомогательного оборудования (для большинства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износа составляет  70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%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повышенная аварийность. 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холодной воды без больших аварий).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Дотационность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вынуждает бюджет считать как основной, а часто и единственный финансовый источник восстановления или реконструкции муниципального коммунального имущества. При этом: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экономические стимулы эффективного использования бюджетных средств.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Коммунальный комплекс ежегодно требует увеличения денежных сре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сельского поселения и опирающихся на бюджетное финансирование.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республиканской целевой программы</w:t>
      </w:r>
    </w:p>
    <w:p w:rsidR="00FA4C29" w:rsidRPr="008737A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Краткая характеристика территории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Воздвиженский сельсовет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Воздвиженский сельсовет  Пономаревского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Оренбургской области   – является сельским поселением, образованным в соответствии с Законом Оренбургской области, объединяющим общей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2 сельских населенных пункта: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оздвиженка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с.Кирсаново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местное самоуправление осуществляется населением непосредственно и (или) через выборные и иные органы местного самоуправления.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стративным центром  Воздвиженского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  является   село Воздвиженка.  Общая площадь    территории  МО Воздвиженский сельсовет составляет  16697,0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 которых 2651,7га – земли населенных пунктов в границах поселений.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Муниципальное образование Воздвиженский сельсовет расположен в северо-западной части Пономаревского района, в  20-ти километрах  к северо-западу от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ономаревка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которым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по автодороге с  асфальтовым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Протяженность села Воздвиженка 14 км,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км.   Администрация  Воздвиженского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расположена в степной </w:t>
      </w:r>
      <w:proofErr w:type="spellStart"/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почвенно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климатической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зоне, особенностью которой является резко- континентальный климат.    На территории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имеется  Воздвиженская основная  школа, Воздвиженская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амбулатория, 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чта, филиал Сбербанка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На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администрации  Воздвиженского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производится сельскохозяйственная продукция (зерно, мясо, молоко). Производство сельскохозяйственной продукции сосредоточено в крестьянско-фермерских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ЛПХ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Основное направление по специализации :  зерновое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   Лесной фонд занимает  298,0 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видами хозяйствен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 на территории  Воздвиженского сельсовета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сельское хозяйство, производство, розничная торговля, здравоохранение, предоставление социальных услуг, предоставление прочих коммунальных и персональных услуг.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на территории  Воздвиженского сельсовета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экономическая программа по улучшению качества жизни населения, включающая в себя ремонт  дорог,  водопровода.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Охрана окружающей среды.</w:t>
      </w:r>
    </w:p>
    <w:p w:rsidR="00FA4C29" w:rsidRPr="008737A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целевой комплексной программой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ально-экономического развития Воздвиженского  сельсовета  Пономаревского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</w:t>
      </w:r>
      <w:r w:rsidR="000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ренбургской области до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средства, направленные на охрану окружающей среды и рациональное использование природных ресурсов.  При осуществлении мероприятий, связанных с воздействием на окружающую среду, природные экосистемы, здоровье людей, необходимо заранее, на уровне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проектной документации исключить возможные отрицательные, негативные последствия путем проведения экологической экспертизы. Под экологической экспертизой следует понимать систему комплексной оценки всех возможных экологических и социально-экономических последствий осуществления проектов, функционирования народнохозяйственных объектов, принятия решений,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среды, осуществления природоохранных мероприятий, позволяющих сократить количество выбрасываемых в атмосферный воздух вредных веществ и сброса загрязненных сточных вод.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-экологически безопасное размещение производительных сил;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технологических процессов;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питьевой водой нормативного качества;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рациональное использование земельных ресурсов.</w:t>
      </w:r>
    </w:p>
    <w:p w:rsidR="00FA4C29" w:rsidRPr="008737A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Санитарная очистка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Воздвиженского сельсовета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14 Федерального закона №131-ФЗ от 06.10.2003 г. к вопросам местного значения поселения относится организация сбора и вывоза бытовых отходов и мусора.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отходы перерабатываются в индивидуальных компостных ямах и используются в качестве удобрений в подсобном хозяйстве, твердые бытовые отходы вывозятся на полигон ТБО, на котором осуществляется прием и захоронение твердых бытовых отходов.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имеет место ряд нерешенных вопросов в этой сфере. Решение таких задач, как:</w:t>
      </w:r>
    </w:p>
    <w:p w:rsidR="000F550E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обязательной планово-регулярной системы сбора, транспортировки бытовых отходов (включая 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 с усовершенствованных покрытий) и их обезвреживание и утилизация (с предварительной сортировкой).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Планово-регулярная система включает подготовку отходов к погрузке в собирающий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мусоровозный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домовладений, организаций, зимнюю и летнюю уборку территорий, утилизацию и обезвреживание специфических отходов и вторичных ресурсов, утилизацию и обезвреживание отходов на специальных сооружениях.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отходы (лече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учреждений)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норму. Эти отходы являются весьма опасными вследствие содержания в них токсичных химических веществ и инфекционных начал; обращение с ними регламентируется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2.1.7.728-99 «Правила сбора, хранения и удаления отходов лечебно-профилактических учреждений».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Предлагается механизированная система сбора и вывоза мусора по утвержденному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афику, для  населенных пунктов  МО Воздвиженский сельсовет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Характеристика состояния системы водоснабжения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 Воздвиженский сельсовет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организация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 за водоснабжение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на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сельсовета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других эксплуатирующих организациях.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водоснабжения являются подземные воды.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водопроводного хозяйства включает в себя эксплуатацию и обслуживание водоразборных колонок; пожарных гидрантов;    артезианских скважин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сетей протяженностью  -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3,7 км. Общая производительность водозаборов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 360 куб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куб.м./сутки. Качество питьевой воды соответствует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2.1.4.1074-01.  Зоны санитарной охраны водозаборов, в целях санитарно-эпидемиологической надежности, предусмотрены в соответствии с требованиями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2.04.02-84 и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2.1.41110-02.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водоподготовки на водозаборах отсутствуют.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система централизованного водоотведения и последующая очистка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Воздвиженском сельсовете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проблем, которая требует безотлагательного решения для повышения устойчивости обеспечения жителей качественной питьевой водой,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реконструкция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оздвиженка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с.Кирсаново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Изношенность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водопроводной сети превышает 70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 Без финансовой поддержки областного бюджета решение этого вопроса невозможно.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Характеристика состояния системы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электроснабжения муниципального               образования Воздвиженский сельсовет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разработки настоящего раздела ГП - обеспечение оптимального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энергосистемы МО Воздвиженский сельсовет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взаимоувязанного с его территориально- планировочным развитием.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время электроснабжение  МО Воздвиженский сельсовет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35/10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«Пономаревка» по линиям 10,35   и 110кв  до трансформаторных подстанций (ТП).  В муниципальном образовании  имеется  17 ТП (5 ТП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12 ТП  в  с.Воздвиженка)   и в  с.Воздвиженка работает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электроподстанция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35/10 кв. Общий износ электрических сетей 60%. Все источники электроснабжения и линии  электропередачи имеют проектные охранные зоны. Эксплуатацию и обслуживание электрических сетей и оборудования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РЭС   ПО  СЭС филиала ОАО  «МРСК  Волги» -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Характеристика состояния системы теплоснабжения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 Воздвиженский сельсовет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 Воздвиженка  теплоснабжение  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врачебной амбулатории,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министративных зданий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от 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азовых мини-котельных, работающих на природном газе.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теплоснабжения в котельных — закрытая.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теплоснабжения тупиковая, двухтрубная, с насосным оборудованием.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 смонтированы из стальных электросварных труб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теплом жилой застройки осуществляется  от индивидуальных автономных отопительных и водонагревательных систем (работающих на природном газе).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 ЦЕЛИ И ЗАДАЧИ РЕАЛИЗАЦИИ ПРОГРАММЫ</w:t>
      </w:r>
    </w:p>
    <w:p w:rsidR="00FA4C29" w:rsidRPr="008737A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поселения.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актуализирует проблему повышения эффективности функционирования жилищно-коммунального комплекса. 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основными задачами настоящей Программы являются: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проектов оптимизации коммунальной инфраструктуры муниципального образования.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Модернизация технической инфраструктуры коммунального комплекса поселения на основе привлечения средств бюджета и внебюджетных источников.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4.МЕХАНИЗМ РЕАЛИЗАЦИИ ПРОГРАММЫ И КОНТРОЛЬ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ХОДОМ ЕЕ ВЫПОЛНЕНИЯ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целей. В основу организации выполнения Программы положены принципы открытости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 и взаимной выгоды , которые обеспечивают широкие возможности для участия всех заинтересованных юридических и физических лиц.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 реализации Программы комплексного развития коммунальной инфраструктуры являются инвестиционные программы организаций коммунального комплекса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Инвестиционные программы определяют сроки строительства, реконструкции и модернизации объектов коммунальной инфраструктуры, их стоимость и источники финансирования.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стратегической цели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– создание условий для эффективного функционирования и развития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коммунальной инфраструктуры МО  Воздвиженский сельсовет.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инвестиционных программ будут утверждаться надбавки к тарифам на товары и услуги организаций коммунального комплекса, тарифы на подключение к системе коммунальной инфраструктуры, размер финансовых средств, выделяемых из местного бюджета на частичное обеспечение финансовых потребностей организаций коммунального комплекса. 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комплекса. 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Программы может осуществляться за счет средств федерального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и местных бюджетов и внебюджетных источников.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будет достигнута за счет осуществления администрацией поселения действенного 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инвестиционных программ организаций коммунального комплекса, который требует организационных мероприятий: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взаимодействия всех субъектов системы коммунальной инфраструктуры поселения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Порядка пересмотра (корректировки) инвестиционных программ организаций коммунального комплекса;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мониторинга за реализацией инвестиционных программ.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  Важнейшие целевые индикаторы и показатели  эффективности реализации     Программы, основные направления финансирования по модернизации объектов коммунальной инфраструктуры</w:t>
      </w:r>
    </w:p>
    <w:p w:rsidR="00FA4C29" w:rsidRPr="008737A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целевые индикаторы и показатели эффективности реализации Программы</w:t>
      </w: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3201"/>
        <w:gridCol w:w="1452"/>
        <w:gridCol w:w="1553"/>
        <w:gridCol w:w="567"/>
        <w:gridCol w:w="567"/>
        <w:gridCol w:w="567"/>
        <w:gridCol w:w="567"/>
        <w:gridCol w:w="573"/>
        <w:gridCol w:w="567"/>
      </w:tblGrid>
      <w:tr w:rsidR="008A4DE5" w:rsidRPr="00C3729F" w:rsidTr="008A4DE5">
        <w:trPr>
          <w:tblCellSpacing w:w="15" w:type="dxa"/>
        </w:trPr>
        <w:tc>
          <w:tcPr>
            <w:tcW w:w="451" w:type="dxa"/>
            <w:vMerge w:val="restart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71" w:type="dxa"/>
            <w:vMerge w:val="restart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3" w:type="dxa"/>
            <w:vMerge w:val="restart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показатели базового года</w:t>
            </w:r>
          </w:p>
        </w:tc>
        <w:tc>
          <w:tcPr>
            <w:tcW w:w="2238" w:type="dxa"/>
            <w:gridSpan w:val="4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DE5" w:rsidRPr="00C3729F" w:rsidTr="008A4DE5">
        <w:trPr>
          <w:tblCellSpacing w:w="15" w:type="dxa"/>
        </w:trPr>
        <w:tc>
          <w:tcPr>
            <w:tcW w:w="451" w:type="dxa"/>
            <w:vMerge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2" w:type="dxa"/>
          </w:tcPr>
          <w:p w:rsidR="008A4DE5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A4DE5" w:rsidRPr="00C3729F" w:rsidTr="008A4DE5">
        <w:trPr>
          <w:tblCellSpacing w:w="15" w:type="dxa"/>
        </w:trPr>
        <w:tc>
          <w:tcPr>
            <w:tcW w:w="451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1" w:type="dxa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износа  объектов коммунальной инфраструктуры</w:t>
            </w:r>
          </w:p>
        </w:tc>
        <w:tc>
          <w:tcPr>
            <w:tcW w:w="1422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23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" w:type="dxa"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2" w:type="dxa"/>
          </w:tcPr>
          <w:p w:rsidR="008A4DE5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DE5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 к Программе</w:t>
      </w:r>
    </w:p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605"/>
        <w:gridCol w:w="1965"/>
        <w:gridCol w:w="3215"/>
      </w:tblGrid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A4C29" w:rsidRPr="00C3729F" w:rsidTr="00C57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выполнения программы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A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МО</w:t>
            </w:r>
          </w:p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Воздвиженский сельсовет</w:t>
            </w:r>
          </w:p>
        </w:tc>
      </w:tr>
    </w:tbl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финансирования по модернизации объектов коммунальной инфраструктуры тыс</w:t>
      </w:r>
      <w:proofErr w:type="gramStart"/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ублей         </w:t>
      </w:r>
    </w:p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C3729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804"/>
        <w:gridCol w:w="1129"/>
        <w:gridCol w:w="62"/>
        <w:gridCol w:w="660"/>
        <w:gridCol w:w="666"/>
        <w:gridCol w:w="630"/>
        <w:gridCol w:w="70"/>
        <w:gridCol w:w="1064"/>
        <w:gridCol w:w="30"/>
        <w:gridCol w:w="1449"/>
      </w:tblGrid>
      <w:tr w:rsidR="00FA4C29" w:rsidRPr="00C3729F" w:rsidTr="008A4D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A4C29" w:rsidRPr="00C3729F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муниципального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4C29" w:rsidRPr="008A4DE5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A4C29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FA4C29"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6" w:type="dxa"/>
            <w:gridSpan w:val="9"/>
            <w:vAlign w:val="center"/>
            <w:hideMark/>
          </w:tcPr>
          <w:p w:rsidR="00FA4C29" w:rsidRPr="008A4DE5" w:rsidRDefault="00FA4C29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</w:t>
            </w:r>
          </w:p>
        </w:tc>
      </w:tr>
      <w:tr w:rsidR="008A4DE5" w:rsidRPr="00C3729F" w:rsidTr="008A4D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DE5" w:rsidRPr="00C3729F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DE5" w:rsidRPr="008A4DE5" w:rsidRDefault="008A4DE5" w:rsidP="00C57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92" w:type="dxa"/>
            <w:gridSpan w:val="2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36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00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A4DE5" w:rsidRPr="00C3729F" w:rsidTr="008A4DE5">
        <w:trPr>
          <w:tblCellSpacing w:w="15" w:type="dxa"/>
        </w:trPr>
        <w:tc>
          <w:tcPr>
            <w:tcW w:w="8010" w:type="dxa"/>
            <w:gridSpan w:val="9"/>
            <w:tcBorders>
              <w:right w:val="single" w:sz="4" w:space="0" w:color="auto"/>
            </w:tcBorders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Водоснабжение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8A4DE5" w:rsidRPr="008A4DE5" w:rsidRDefault="008A4DE5" w:rsidP="008A4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DE5" w:rsidRPr="00C3729F" w:rsidTr="008A4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водопровода по адресу с</w:t>
            </w:r>
            <w:proofErr w:type="gramStart"/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оздвиженка</w:t>
            </w:r>
          </w:p>
        </w:tc>
        <w:tc>
          <w:tcPr>
            <w:tcW w:w="0" w:type="auto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61" w:type="dxa"/>
            <w:gridSpan w:val="2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630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636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8A4DE5" w:rsidRPr="00C3729F" w:rsidTr="008A4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  бюджет</w:t>
            </w:r>
          </w:p>
        </w:tc>
        <w:tc>
          <w:tcPr>
            <w:tcW w:w="0" w:type="auto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61" w:type="dxa"/>
            <w:gridSpan w:val="2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630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636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8A4DE5" w:rsidRPr="00C3729F" w:rsidTr="008A4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61" w:type="dxa"/>
            <w:gridSpan w:val="2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630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636" w:type="dxa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8A4DE5" w:rsidRPr="008A4DE5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8A4DE5" w:rsidRPr="00C3729F" w:rsidRDefault="008A4DE5" w:rsidP="008A4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8A4DE5" w:rsidRPr="00C3729F" w:rsidTr="008A4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  <w:hideMark/>
          </w:tcPr>
          <w:p w:rsidR="008A4DE5" w:rsidRPr="00C3729F" w:rsidRDefault="008A4DE5" w:rsidP="00C57C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8A4DE5" w:rsidRPr="00C3729F" w:rsidRDefault="008A4DE5" w:rsidP="008A4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C29" w:rsidRPr="008737AF" w:rsidRDefault="00FA4C29" w:rsidP="00FA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6.ОЖИДАЕМЫЕ РЕЗУЛЬТАТЫ РЕАЛИЗАЦИИ ПРОГРАММЫ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ОЦЕНКА ИХ ЭФФЕКТИВНОСТИ.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комплексного развития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коммунальной инфраструктуры МО Воздвиженский сельсовет 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обеспечить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-строительство инженерно-технических сооружений для обеспечения эффективного, качественного и надежного снабжения коммунальными ресурсами;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уровня износа оборудования электроснабжения, теплосетей, сетей водоснабжения и водоотведения;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-улучшение экологической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Воздвиженский сельсовет</w:t>
      </w: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-улучшения качества жизни населения.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реализация программных мероприятий по развитию и модернизации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водоотведения  МО  Воздвиженский сельсовет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бесперебойным централизованным водоснабжением и водоотведением всю территорию поселения;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-улучшить качественный показатель питьевой воды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-увеличить количество потребителей услуг, а также объем сбора средств за предоставленные услуги, тем самым повысить рентабельность предприятий, эксплуатирующих системы водоснабжения поселения;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беспрепятственный отток ливневых и талых вод с застроенной территории поселения;</w:t>
      </w:r>
    </w:p>
    <w:p w:rsidR="00FA4C29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уровень загрязнения р. Дема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по совершенствованию системы сбора и вывоза ТБО позволит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количество несанкционированных свалок и объем затрат на их ликвидацию;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-улучшить экологическое состояние и эстетический вид села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эффективность данной Программы зависит от уровня финансирования мероприятий инвестиционных программ и качества их выполнения.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Программы возможно только при тесном взаимодействии органов местного самоуправления с организациями коммунальной инфраструктуры муниципального образования</w:t>
      </w:r>
      <w:proofErr w:type="gramStart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потребителями коммунальных услуг.</w:t>
      </w:r>
    </w:p>
    <w:p w:rsidR="00FA4C29" w:rsidRPr="00C3729F" w:rsidRDefault="00FA4C29" w:rsidP="00FA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C29" w:rsidRPr="005F46E0" w:rsidRDefault="00FA4C29" w:rsidP="00FA4C29">
      <w:pPr>
        <w:jc w:val="both"/>
        <w:rPr>
          <w:szCs w:val="28"/>
        </w:rPr>
      </w:pPr>
    </w:p>
    <w:p w:rsidR="00FA4C29" w:rsidRDefault="00FA4C29"/>
    <w:p w:rsidR="00FA4C29" w:rsidRDefault="00FA4C29"/>
    <w:p w:rsidR="00FA4C29" w:rsidRDefault="00FA4C29"/>
    <w:sectPr w:rsidR="00FA4C29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020FB1"/>
    <w:rsid w:val="000F550E"/>
    <w:rsid w:val="001F4E0D"/>
    <w:rsid w:val="0021193E"/>
    <w:rsid w:val="00885443"/>
    <w:rsid w:val="008A4DE5"/>
    <w:rsid w:val="00CF6F93"/>
    <w:rsid w:val="00DF5822"/>
    <w:rsid w:val="00E44C70"/>
    <w:rsid w:val="00FA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C2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FA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2019-04-23T10:40:00Z</cp:lastPrinted>
  <dcterms:created xsi:type="dcterms:W3CDTF">2019-04-23T08:05:00Z</dcterms:created>
  <dcterms:modified xsi:type="dcterms:W3CDTF">2019-04-23T10:42:00Z</dcterms:modified>
</cp:coreProperties>
</file>