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E" w:rsidRDefault="00E53C7E" w:rsidP="00E53C7E">
      <w:pPr>
        <w:keepNext/>
        <w:widowControl w:val="0"/>
        <w:shd w:val="clear" w:color="auto" w:fill="FFFFFF"/>
        <w:tabs>
          <w:tab w:val="left" w:pos="0"/>
          <w:tab w:val="left" w:pos="2590"/>
        </w:tabs>
        <w:autoSpaceDE w:val="0"/>
        <w:ind w:left="576" w:hanging="576"/>
        <w:jc w:val="center"/>
        <w:outlineLvl w:val="1"/>
        <w:rPr>
          <w:b/>
          <w:bCs/>
          <w:szCs w:val="28"/>
        </w:rPr>
      </w:pPr>
    </w:p>
    <w:p w:rsidR="00E53C7E" w:rsidRDefault="00E53C7E" w:rsidP="00E53C7E">
      <w:pPr>
        <w:keepNext/>
        <w:widowControl w:val="0"/>
        <w:shd w:val="clear" w:color="auto" w:fill="FFFFFF"/>
        <w:tabs>
          <w:tab w:val="left" w:pos="0"/>
          <w:tab w:val="left" w:pos="2590"/>
        </w:tabs>
        <w:autoSpaceDE w:val="0"/>
        <w:ind w:left="576" w:hanging="576"/>
        <w:jc w:val="center"/>
        <w:outlineLvl w:val="1"/>
        <w:rPr>
          <w:b/>
          <w:bCs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E53C7E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</w:p>
    <w:p w:rsidR="001758B1" w:rsidRDefault="00E53C7E" w:rsidP="00E53C7E">
      <w:pPr>
        <w:shd w:val="clear" w:color="auto" w:fill="FFFFFF"/>
        <w:ind w:right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33 от 14.03.2024</w:t>
      </w:r>
    </w:p>
    <w:p w:rsidR="001758B1" w:rsidRDefault="001758B1">
      <w:pPr>
        <w:shd w:val="clear" w:color="auto" w:fill="FFFFFF"/>
        <w:ind w:right="24"/>
        <w:jc w:val="center"/>
        <w:rPr>
          <w:b/>
          <w:bCs/>
          <w:sz w:val="20"/>
          <w:szCs w:val="20"/>
        </w:rPr>
      </w:pPr>
    </w:p>
    <w:p w:rsidR="001758B1" w:rsidRDefault="009D11EB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Кухаривского сельского поселения Ейского района от 2 октября 2023 года № 183 «Об утверждении муниципальной программы</w:t>
      </w:r>
    </w:p>
    <w:p w:rsidR="001758B1" w:rsidRDefault="009D11EB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Кухаривского сельского поселения Ейского района</w:t>
      </w:r>
    </w:p>
    <w:p w:rsidR="001758B1" w:rsidRDefault="009D11EB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жилищно– коммунального хозяйства» </w:t>
      </w:r>
    </w:p>
    <w:p w:rsidR="001758B1" w:rsidRDefault="001758B1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1758B1" w:rsidRDefault="001758B1">
      <w:pPr>
        <w:shd w:val="clear" w:color="auto" w:fill="FFFFFF"/>
        <w:ind w:right="24" w:firstLine="720"/>
        <w:jc w:val="both"/>
        <w:rPr>
          <w:bCs/>
          <w:spacing w:val="-1"/>
          <w:sz w:val="28"/>
          <w:szCs w:val="28"/>
        </w:rPr>
      </w:pPr>
    </w:p>
    <w:p w:rsidR="001758B1" w:rsidRDefault="009D11EB">
      <w:pPr>
        <w:ind w:firstLine="709"/>
        <w:jc w:val="both"/>
        <w:rPr>
          <w:spacing w:val="66"/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 179.3 Бюджетного кодекса Российской Федерации  и статьей 60 Устава Кухаривского сельского поселения Ейского района</w:t>
      </w:r>
      <w:r w:rsidR="00E53C7E">
        <w:rPr>
          <w:spacing w:val="-1"/>
          <w:sz w:val="28"/>
          <w:szCs w:val="28"/>
        </w:rPr>
        <w:t xml:space="preserve"> </w:t>
      </w:r>
      <w:r>
        <w:rPr>
          <w:spacing w:val="66"/>
          <w:sz w:val="28"/>
          <w:szCs w:val="28"/>
        </w:rPr>
        <w:t>постановляю:</w:t>
      </w:r>
    </w:p>
    <w:p w:rsidR="001758B1" w:rsidRDefault="009D11EB">
      <w:pPr>
        <w:tabs>
          <w:tab w:val="left" w:pos="6379"/>
        </w:tabs>
        <w:ind w:firstLine="709"/>
        <w:jc w:val="both"/>
        <w:rPr>
          <w:sz w:val="28"/>
          <w:szCs w:val="28"/>
        </w:rPr>
      </w:pPr>
      <w:bookmarkStart w:id="0" w:name="sub_101"/>
      <w:bookmarkEnd w:id="0"/>
      <w:r>
        <w:rPr>
          <w:sz w:val="28"/>
          <w:szCs w:val="28"/>
        </w:rPr>
        <w:t>1. Утвердить изменения в  постановление администрации Кухаривского сельского поселения Ейского района от 2 октября 2024 года № 183 «Об утверждении муниципальной программы Кухаривского сельского поселения Ейского района «Развитие жилищно-коммунального хозяйства» согласно приложению к настоящему постановлению.</w:t>
      </w:r>
    </w:p>
    <w:p w:rsidR="001758B1" w:rsidRDefault="009D11EB">
      <w:pPr>
        <w:ind w:right="-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общего отдела администрации Кухаривского сельского поселения Ейского района (Мунирова) обнародовать постановление путём размещения в сети «Интернет» на официальном сайте Кухаривского сельского поселения Ейского района.</w:t>
      </w:r>
    </w:p>
    <w:p w:rsidR="001758B1" w:rsidRDefault="009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отделу администрации Кухаривского сельского поселения (Бутко) п</w:t>
      </w:r>
      <w:r>
        <w:rPr>
          <w:sz w:val="27"/>
          <w:szCs w:val="27"/>
        </w:rPr>
        <w:t>редусмотреть в бюджете Кухаривского сельского поселения Ейского района денежные средства на финансирование мероприятий муниципальной программы «</w:t>
      </w:r>
      <w:r w:rsidR="00572DE2">
        <w:rPr>
          <w:bCs/>
          <w:sz w:val="28"/>
          <w:szCs w:val="28"/>
        </w:rPr>
        <w:t>Развитие жилищно-коммунального хозяйства</w:t>
      </w:r>
      <w:r>
        <w:rPr>
          <w:sz w:val="27"/>
          <w:szCs w:val="27"/>
        </w:rPr>
        <w:t>».</w:t>
      </w:r>
    </w:p>
    <w:p w:rsidR="001758B1" w:rsidRDefault="009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758B1" w:rsidRDefault="009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1" w:name="sub_104"/>
      <w:r>
        <w:rPr>
          <w:sz w:val="28"/>
          <w:szCs w:val="28"/>
        </w:rPr>
        <w:t>.Постановление вступает в силу со дня его подписания.</w:t>
      </w:r>
      <w:bookmarkEnd w:id="1"/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9D11EB">
      <w:pPr>
        <w:pStyle w:val="ac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758B1" w:rsidRDefault="009D11EB">
      <w:pPr>
        <w:pStyle w:val="ac"/>
        <w:spacing w:beforeAutospacing="0" w:after="0"/>
        <w:rPr>
          <w:sz w:val="28"/>
          <w:szCs w:val="28"/>
        </w:rPr>
      </w:pPr>
      <w:r>
        <w:rPr>
          <w:sz w:val="28"/>
          <w:szCs w:val="28"/>
        </w:rPr>
        <w:t>Кухаривского сельского поселения</w:t>
      </w:r>
    </w:p>
    <w:p w:rsidR="001758B1" w:rsidRDefault="009D11EB">
      <w:pPr>
        <w:pStyle w:val="ac"/>
        <w:spacing w:beforeAutospacing="0" w:after="0"/>
        <w:rPr>
          <w:sz w:val="28"/>
          <w:szCs w:val="28"/>
        </w:rPr>
        <w:sectPr w:rsidR="001758B1">
          <w:pgSz w:w="11906" w:h="16838"/>
          <w:pgMar w:top="284" w:right="567" w:bottom="1134" w:left="1701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Ейского района                                                                                  Н.А.</w:t>
      </w:r>
      <w:r w:rsidR="00E53C7E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Григоренко</w:t>
      </w:r>
    </w:p>
    <w:p w:rsidR="001758B1" w:rsidRDefault="009D11EB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758B1" w:rsidRDefault="001758B1">
      <w:pPr>
        <w:widowControl w:val="0"/>
        <w:ind w:left="5670"/>
        <w:jc w:val="center"/>
        <w:rPr>
          <w:color w:val="000000"/>
          <w:sz w:val="28"/>
          <w:szCs w:val="28"/>
        </w:rPr>
      </w:pPr>
    </w:p>
    <w:p w:rsidR="001758B1" w:rsidRDefault="009D11EB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1758B1" w:rsidRDefault="009D11EB">
      <w:pPr>
        <w:widowControl w:val="0"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Кухаривского сельского поселения Ейского района</w:t>
      </w:r>
    </w:p>
    <w:p w:rsidR="001758B1" w:rsidRDefault="009D11EB">
      <w:pPr>
        <w:ind w:left="567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______________ №_____</w:t>
      </w:r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9D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1758B1" w:rsidRDefault="009D11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 Кухаривского сельского поселения Ейского района от 2 октября 2023 года № 183 «Об утверждении муниципальной программы Кухаривского сельского поселения Ейского района «</w:t>
      </w:r>
      <w:r>
        <w:rPr>
          <w:b/>
          <w:bCs/>
          <w:sz w:val="28"/>
          <w:szCs w:val="28"/>
        </w:rPr>
        <w:t>Развитие жилищно-коммунального хозяйства»</w:t>
      </w:r>
    </w:p>
    <w:p w:rsidR="001758B1" w:rsidRDefault="001758B1">
      <w:pPr>
        <w:jc w:val="center"/>
        <w:rPr>
          <w:b/>
          <w:sz w:val="28"/>
          <w:szCs w:val="28"/>
        </w:rPr>
      </w:pPr>
    </w:p>
    <w:p w:rsidR="001758B1" w:rsidRDefault="001758B1">
      <w:pPr>
        <w:ind w:firstLine="709"/>
        <w:jc w:val="both"/>
        <w:rPr>
          <w:sz w:val="28"/>
          <w:szCs w:val="28"/>
        </w:rPr>
      </w:pPr>
    </w:p>
    <w:p w:rsidR="001758B1" w:rsidRDefault="009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Кухаривского сельского поселения Ейского района «Развитие жилищно-коммунального хозяйства», </w:t>
      </w:r>
      <w:r>
        <w:rPr>
          <w:bCs/>
          <w:sz w:val="28"/>
          <w:szCs w:val="28"/>
        </w:rPr>
        <w:t xml:space="preserve">в строке «Объемы бюджетных ассигнований муниципальной программы» </w:t>
      </w:r>
      <w:r>
        <w:rPr>
          <w:sz w:val="28"/>
          <w:szCs w:val="28"/>
        </w:rPr>
        <w:t xml:space="preserve">слова </w:t>
      </w:r>
      <w:r>
        <w:rPr>
          <w:sz w:val="28"/>
          <w:szCs w:val="28"/>
          <w:shd w:val="clear" w:color="auto" w:fill="FFFFFF"/>
        </w:rPr>
        <w:t xml:space="preserve">«28 487,4 тыс. рублей» </w:t>
      </w:r>
      <w:r>
        <w:rPr>
          <w:sz w:val="28"/>
          <w:szCs w:val="28"/>
        </w:rPr>
        <w:t xml:space="preserve">заменить словами </w:t>
      </w:r>
      <w:r>
        <w:rPr>
          <w:sz w:val="28"/>
          <w:szCs w:val="28"/>
          <w:shd w:val="clear" w:color="auto" w:fill="FFFFFF"/>
        </w:rPr>
        <w:t>«30 255,3</w:t>
      </w:r>
      <w:r>
        <w:rPr>
          <w:sz w:val="28"/>
          <w:szCs w:val="28"/>
        </w:rPr>
        <w:t xml:space="preserve"> тыс. рублей», слова</w:t>
      </w:r>
      <w:r>
        <w:rPr>
          <w:sz w:val="28"/>
          <w:szCs w:val="28"/>
          <w:shd w:val="clear" w:color="auto" w:fill="FFFFFF"/>
        </w:rPr>
        <w:t xml:space="preserve"> «2024 год – 14 429,0 тыс. рублей» заменить словами «2024 год – 16 199,6 тыс. рублей».</w:t>
      </w:r>
    </w:p>
    <w:p w:rsidR="001758B1" w:rsidRDefault="009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 пункте 3 «Характеристика основных мероприятий программы» таблицу «Перечень основных мероприятий программы» изложить в следующей редакции:</w:t>
      </w:r>
    </w:p>
    <w:p w:rsidR="001758B1" w:rsidRDefault="001758B1">
      <w:pPr>
        <w:widowControl w:val="0"/>
        <w:jc w:val="center"/>
        <w:rPr>
          <w:sz w:val="28"/>
          <w:szCs w:val="28"/>
        </w:rPr>
      </w:pPr>
    </w:p>
    <w:tbl>
      <w:tblPr>
        <w:tblStyle w:val="af1"/>
        <w:tblW w:w="9737" w:type="dxa"/>
        <w:tblLayout w:type="fixed"/>
        <w:tblLook w:val="04A0"/>
      </w:tblPr>
      <w:tblGrid>
        <w:gridCol w:w="784"/>
        <w:gridCol w:w="2717"/>
        <w:gridCol w:w="1133"/>
        <w:gridCol w:w="1135"/>
        <w:gridCol w:w="992"/>
        <w:gridCol w:w="991"/>
        <w:gridCol w:w="1985"/>
      </w:tblGrid>
      <w:tr w:rsidR="001758B1" w:rsidTr="00E53C7E">
        <w:trPr>
          <w:trHeight w:val="418"/>
        </w:trPr>
        <w:tc>
          <w:tcPr>
            <w:tcW w:w="783" w:type="dxa"/>
            <w:vMerge w:val="restart"/>
          </w:tcPr>
          <w:p w:rsidR="001758B1" w:rsidRDefault="009D11EB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2717" w:type="dxa"/>
            <w:vMerge w:val="restart"/>
          </w:tcPr>
          <w:p w:rsidR="001758B1" w:rsidRDefault="009D11EB">
            <w:pPr>
              <w:jc w:val="center"/>
              <w:outlineLvl w:val="1"/>
            </w:pPr>
            <w:r>
              <w:t>Наименование направлений использования средств Программы</w:t>
            </w:r>
          </w:p>
          <w:p w:rsidR="001758B1" w:rsidRDefault="009D11EB">
            <w:pPr>
              <w:widowControl w:val="0"/>
              <w:jc w:val="center"/>
            </w:pPr>
            <w:r>
              <w:t>(программные мероприятия)</w:t>
            </w:r>
          </w:p>
        </w:tc>
        <w:tc>
          <w:tcPr>
            <w:tcW w:w="4251" w:type="dxa"/>
            <w:gridSpan w:val="4"/>
          </w:tcPr>
          <w:p w:rsidR="001758B1" w:rsidRDefault="009D11EB">
            <w:pPr>
              <w:widowControl w:val="0"/>
              <w:jc w:val="center"/>
            </w:pPr>
            <w:r>
              <w:t>Объём финансирования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985" w:type="dxa"/>
            <w:vMerge w:val="restart"/>
          </w:tcPr>
          <w:p w:rsidR="001758B1" w:rsidRDefault="009D11EB">
            <w:pPr>
              <w:widowControl w:val="0"/>
              <w:jc w:val="center"/>
            </w:pPr>
            <w:r>
              <w:t>Ответственные исполнители</w:t>
            </w:r>
          </w:p>
        </w:tc>
      </w:tr>
      <w:tr w:rsidR="001758B1" w:rsidTr="00E53C7E">
        <w:trPr>
          <w:trHeight w:val="1035"/>
        </w:trPr>
        <w:tc>
          <w:tcPr>
            <w:tcW w:w="783" w:type="dxa"/>
            <w:vMerge/>
          </w:tcPr>
          <w:p w:rsidR="001758B1" w:rsidRDefault="001758B1">
            <w:pPr>
              <w:widowControl w:val="0"/>
              <w:snapToGrid w:val="0"/>
              <w:jc w:val="center"/>
            </w:pPr>
          </w:p>
        </w:tc>
        <w:tc>
          <w:tcPr>
            <w:tcW w:w="2717" w:type="dxa"/>
            <w:vMerge/>
          </w:tcPr>
          <w:p w:rsidR="001758B1" w:rsidRDefault="001758B1">
            <w:pPr>
              <w:snapToGrid w:val="0"/>
              <w:jc w:val="center"/>
              <w:outlineLvl w:val="1"/>
            </w:pPr>
          </w:p>
        </w:tc>
        <w:tc>
          <w:tcPr>
            <w:tcW w:w="1133" w:type="dxa"/>
          </w:tcPr>
          <w:p w:rsidR="001758B1" w:rsidRDefault="009D11EB">
            <w:pPr>
              <w:jc w:val="center"/>
              <w:outlineLvl w:val="1"/>
            </w:pPr>
            <w:r>
              <w:t>Всего</w:t>
            </w:r>
          </w:p>
        </w:tc>
        <w:tc>
          <w:tcPr>
            <w:tcW w:w="1135" w:type="dxa"/>
          </w:tcPr>
          <w:p w:rsidR="001758B1" w:rsidRDefault="009D11EB">
            <w:pPr>
              <w:jc w:val="center"/>
              <w:outlineLvl w:val="1"/>
            </w:pPr>
            <w:r>
              <w:t>2024</w:t>
            </w:r>
          </w:p>
          <w:p w:rsidR="001758B1" w:rsidRDefault="009D11EB">
            <w:pPr>
              <w:jc w:val="center"/>
              <w:outlineLvl w:val="1"/>
            </w:pPr>
            <w:r>
              <w:t>год</w:t>
            </w:r>
          </w:p>
        </w:tc>
        <w:tc>
          <w:tcPr>
            <w:tcW w:w="992" w:type="dxa"/>
          </w:tcPr>
          <w:p w:rsidR="001758B1" w:rsidRDefault="009D11EB">
            <w:pPr>
              <w:jc w:val="center"/>
              <w:outlineLvl w:val="1"/>
            </w:pPr>
            <w:r>
              <w:t>2025 год</w:t>
            </w:r>
          </w:p>
        </w:tc>
        <w:tc>
          <w:tcPr>
            <w:tcW w:w="991" w:type="dxa"/>
          </w:tcPr>
          <w:p w:rsidR="001758B1" w:rsidRDefault="009D11EB">
            <w:pPr>
              <w:jc w:val="center"/>
              <w:outlineLvl w:val="1"/>
            </w:pPr>
            <w:r>
              <w:t>2026 год</w:t>
            </w:r>
          </w:p>
        </w:tc>
        <w:tc>
          <w:tcPr>
            <w:tcW w:w="1985" w:type="dxa"/>
            <w:vMerge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</w:rPr>
            </w:pP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jc w:val="center"/>
            </w:pPr>
            <w:r>
              <w:t>7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717" w:type="dxa"/>
          </w:tcPr>
          <w:p w:rsidR="001758B1" w:rsidRDefault="009D11EB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Организация уличного освещения населенных пунктов поселения,</w:t>
            </w:r>
          </w:p>
          <w:p w:rsidR="001758B1" w:rsidRDefault="009D11EB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(из них по инициативе граждан)</w:t>
            </w:r>
          </w:p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6 553,0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(500,0)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</w:rPr>
              <w:t>1 936,0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  <w:shd w:val="clear" w:color="auto" w:fill="FFFFFF"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(500,0)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2 324,0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2 293,0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(0,00)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Оплата потребленной электроэнергии для нужд уличного освещения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3 136,0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850,0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1 089,0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1 197,0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 xml:space="preserve">Текущее содержание системы уличного освещения. Замена вышедших из строя </w:t>
            </w:r>
            <w:r>
              <w:lastRenderedPageBreak/>
              <w:t>ламп, светильников, линий электроснабжения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947,0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286,0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315,0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346,0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 xml:space="preserve">Администрация Кухаривского сельского поселения </w:t>
            </w:r>
            <w:r>
              <w:lastRenderedPageBreak/>
              <w:t>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1.3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материалов и оборудования для проведения текущего ремонта системы уличного освещения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670,0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320,0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Монтаж линий уличного освещения</w:t>
            </w:r>
          </w:p>
          <w:p w:rsidR="001758B1" w:rsidRDefault="009D11EB">
            <w:pPr>
              <w:widowControl w:val="0"/>
            </w:pPr>
            <w:r>
              <w:rPr>
                <w:iCs/>
              </w:rPr>
              <w:t xml:space="preserve">(из них по инициативе граждан </w:t>
            </w:r>
            <w:r>
              <w:rPr>
                <w:shd w:val="clear" w:color="auto" w:fill="FFFFFF"/>
              </w:rPr>
              <w:t>(ул. 10-я Бригада))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1 800,0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(500,0)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500,0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(500,0)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600,0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700,0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Озеленение,</w:t>
            </w:r>
          </w:p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620,0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посадочного материала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2.2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Обрезка деревьев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2.3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Корчевание пней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250,0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Содержание мест захоронений</w:t>
            </w:r>
          </w:p>
          <w:p w:rsidR="001758B1" w:rsidRDefault="009D11EB">
            <w:pPr>
              <w:widowContro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(из них по инициативе граждан),</w:t>
            </w:r>
          </w:p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7 681,6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(5 920,6)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6 890,6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(5 920,6)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393,0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398,0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1758B1" w:rsidTr="00E53C7E">
        <w:trPr>
          <w:trHeight w:val="1574"/>
        </w:trPr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3.1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материалов для отсыпки подъездных путей к кладбищам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1 550,0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850,0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350,0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350,0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3.2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контейнеров, ёмкостей для воды, туалетов для установки на кладбищах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160,0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3.3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 xml:space="preserve">Ограждение старого кладбища в </w:t>
            </w:r>
            <w:proofErr w:type="spellStart"/>
            <w:r>
              <w:t>с.Кухаривка</w:t>
            </w:r>
            <w:proofErr w:type="spellEnd"/>
          </w:p>
          <w:p w:rsidR="001758B1" w:rsidRDefault="009D11EB">
            <w:pPr>
              <w:widowControl w:val="0"/>
            </w:pPr>
            <w:r>
              <w:t>(из них по инициативе граждан)</w:t>
            </w:r>
          </w:p>
          <w:p w:rsidR="001758B1" w:rsidRDefault="001758B1">
            <w:pPr>
              <w:widowControl w:val="0"/>
            </w:pP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3 037,2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(3 037,2)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3 037,2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(3 037,2)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3.4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 xml:space="preserve">Ограждение старого кладбища в </w:t>
            </w:r>
            <w:r>
              <w:lastRenderedPageBreak/>
              <w:t>с.Воронцовка</w:t>
            </w:r>
          </w:p>
          <w:p w:rsidR="001758B1" w:rsidRDefault="009D11EB">
            <w:pPr>
              <w:widowControl w:val="0"/>
            </w:pPr>
            <w:r>
              <w:t>(из них по инициативе граждан)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2 883,4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(2 883,4)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2 883,4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(2 883,4)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lastRenderedPageBreak/>
              <w:t xml:space="preserve">Администрация Кухаривского </w:t>
            </w:r>
            <w:r>
              <w:lastRenderedPageBreak/>
              <w:t>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lastRenderedPageBreak/>
              <w:t>3.5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Установка информационных стендов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51,0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13,0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Прочие мероприятия по благоустройству территории поселения </w:t>
            </w:r>
            <w:r>
              <w:rPr>
                <w:b/>
                <w:bCs/>
                <w:i/>
                <w:iCs/>
              </w:rPr>
              <w:t xml:space="preserve">(из них по инициативе граждан, в рамках инициативного </w:t>
            </w:r>
            <w:proofErr w:type="spellStart"/>
            <w:r>
              <w:rPr>
                <w:b/>
                <w:bCs/>
                <w:i/>
                <w:iCs/>
              </w:rPr>
              <w:t>бюджетирования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Cs/>
              </w:rPr>
              <w:t>,</w:t>
            </w:r>
          </w:p>
          <w:p w:rsidR="001758B1" w:rsidRDefault="009D11E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том числе: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3 967,0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(550,0)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3 175,0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(550,0)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382,0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  <w:iCs/>
              </w:rPr>
              <w:t>410,0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(0,0)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  <w:bCs/>
                <w:iCs/>
              </w:rPr>
            </w:pP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4.1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мемориала в парке Победы</w:t>
            </w:r>
          </w:p>
          <w:p w:rsidR="001758B1" w:rsidRDefault="001758B1">
            <w:pPr>
              <w:widowControl w:val="0"/>
              <w:rPr>
                <w:shd w:val="clear" w:color="auto" w:fill="FFFFFF"/>
              </w:rPr>
            </w:pP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1 500,0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1 500,0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4.2</w:t>
            </w:r>
          </w:p>
          <w:p w:rsidR="001758B1" w:rsidRDefault="001758B1">
            <w:pPr>
              <w:widowControl w:val="0"/>
              <w:jc w:val="center"/>
            </w:pP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строительных материалов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960,0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320,0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340,0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4.3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</w:t>
            </w:r>
            <w:proofErr w:type="spellStart"/>
            <w:r>
              <w:rPr>
                <w:shd w:val="clear" w:color="auto" w:fill="FFFFFF"/>
              </w:rPr>
              <w:t>аккарицидной</w:t>
            </w:r>
            <w:proofErr w:type="spellEnd"/>
            <w:r>
              <w:rPr>
                <w:shd w:val="clear" w:color="auto" w:fill="FFFFFF"/>
              </w:rPr>
              <w:t xml:space="preserve"> обработки общественных территорий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82,0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27,0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4.4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Приобретение информационных стендов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175,0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4.5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Замена игрового оборудования на детских площадках в с.Красноармейском и </w:t>
            </w:r>
            <w:proofErr w:type="spellStart"/>
            <w:r>
              <w:rPr>
                <w:shd w:val="clear" w:color="auto" w:fill="FFFFFF"/>
              </w:rPr>
              <w:t>х.Приазовка</w:t>
            </w:r>
            <w:proofErr w:type="spellEnd"/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700,0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4.6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shd w:val="clear" w:color="auto" w:fill="FFFFFF"/>
              </w:rPr>
              <w:t>арт-объекта</w:t>
            </w:r>
            <w:proofErr w:type="spellEnd"/>
            <w:r>
              <w:rPr>
                <w:shd w:val="clear" w:color="auto" w:fill="FFFFFF"/>
              </w:rPr>
              <w:t xml:space="preserve"> „</w:t>
            </w:r>
            <w:proofErr w:type="spellStart"/>
            <w:r>
              <w:rPr>
                <w:shd w:val="clear" w:color="auto" w:fill="FFFFFF"/>
              </w:rPr>
              <w:t>Фотозона</w:t>
            </w:r>
            <w:proofErr w:type="spellEnd"/>
            <w:r>
              <w:rPr>
                <w:shd w:val="clear" w:color="auto" w:fill="FFFFFF"/>
              </w:rPr>
              <w:t>“ по инициативе граждан с.Воронцовка</w:t>
            </w:r>
          </w:p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(из них в рамках инициативного </w:t>
            </w:r>
            <w:proofErr w:type="spellStart"/>
            <w:r>
              <w:rPr>
                <w:shd w:val="clear" w:color="auto" w:fill="FFFFFF"/>
              </w:rPr>
              <w:t>бюджетирования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300,0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(300,0)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300,0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(300,0)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4.7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Текущий ремонт объекта культурного наследия регионального значения „Могила сержанта </w:t>
            </w:r>
            <w:proofErr w:type="spellStart"/>
            <w:r>
              <w:rPr>
                <w:shd w:val="clear" w:color="auto" w:fill="FFFFFF"/>
              </w:rPr>
              <w:t>В.Т.Фиренчука</w:t>
            </w:r>
            <w:proofErr w:type="spellEnd"/>
            <w:r>
              <w:rPr>
                <w:shd w:val="clear" w:color="auto" w:fill="FFFFFF"/>
              </w:rPr>
              <w:t xml:space="preserve"> (1921-</w:t>
            </w:r>
            <w:r>
              <w:rPr>
                <w:shd w:val="clear" w:color="auto" w:fill="FFFFFF"/>
              </w:rPr>
              <w:lastRenderedPageBreak/>
              <w:t>1943)»расположенного по адресу: Ейский район, с.Воронцовка, кладбище</w:t>
            </w:r>
          </w:p>
          <w:p w:rsidR="001758B1" w:rsidRDefault="009D11EB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(из них по инициативе граждан)</w:t>
            </w:r>
          </w:p>
        </w:tc>
        <w:tc>
          <w:tcPr>
            <w:tcW w:w="1133" w:type="dxa"/>
          </w:tcPr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250,0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(250,0)</w:t>
            </w:r>
          </w:p>
        </w:tc>
        <w:tc>
          <w:tcPr>
            <w:tcW w:w="1135" w:type="dxa"/>
          </w:tcPr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250,0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(250,0)</w:t>
            </w:r>
          </w:p>
        </w:tc>
        <w:tc>
          <w:tcPr>
            <w:tcW w:w="992" w:type="dxa"/>
          </w:tcPr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991" w:type="dxa"/>
          </w:tcPr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0,0</w:t>
            </w: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1758B1">
            <w:pPr>
              <w:widowControl w:val="0"/>
              <w:jc w:val="center"/>
            </w:pPr>
          </w:p>
          <w:p w:rsidR="001758B1" w:rsidRDefault="009D11EB">
            <w:pPr>
              <w:widowControl w:val="0"/>
              <w:jc w:val="center"/>
            </w:pPr>
            <w:r>
              <w:t>(0,0)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</w:pPr>
            <w:r>
              <w:lastRenderedPageBreak/>
              <w:t>Администрация Кухаривского сельского поселения Ейского района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  <w:p w:rsidR="001758B1" w:rsidRDefault="009D11EB">
            <w:pPr>
              <w:widowControl w:val="0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В том числе: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11 433,7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3 878,0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3 683,4</w:t>
            </w:r>
          </w:p>
        </w:tc>
        <w:tc>
          <w:tcPr>
            <w:tcW w:w="991" w:type="dxa"/>
          </w:tcPr>
          <w:p w:rsidR="001758B1" w:rsidRDefault="009D11E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3 872,3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5.1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МКУ «Кухаривское» (фонд оплаты труда персонала)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8 906,6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3 031,9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2 866,4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3 008,3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5.2</w:t>
            </w:r>
          </w:p>
        </w:tc>
        <w:tc>
          <w:tcPr>
            <w:tcW w:w="2717" w:type="dxa"/>
          </w:tcPr>
          <w:p w:rsidR="001758B1" w:rsidRDefault="009D11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Оплата работ по временному трудоустройству несовершеннолетних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220,0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5.2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Оплата по договорам оказания услуг, выполнения работ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485,0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135,0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170,0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5.3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основных средств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280,0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70,0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5.4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материальных запасов (</w:t>
            </w:r>
            <w:proofErr w:type="spellStart"/>
            <w:r>
              <w:t>зап</w:t>
            </w:r>
            <w:proofErr w:type="spellEnd"/>
            <w:r>
              <w:t>/части для трактора, горюче- смазочные материалы), приобретение прочих материальных запасов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1 410,0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450,0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470,0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490,0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5.5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Приобретение программных продуктов, ОСАГО, уплата налогов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67,0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19,0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23,0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9D11EB">
            <w:pPr>
              <w:widowControl w:val="0"/>
              <w:jc w:val="center"/>
            </w:pPr>
            <w:r>
              <w:t>5.6</w:t>
            </w:r>
          </w:p>
        </w:tc>
        <w:tc>
          <w:tcPr>
            <w:tcW w:w="2717" w:type="dxa"/>
          </w:tcPr>
          <w:p w:rsidR="001758B1" w:rsidRDefault="009D11EB">
            <w:pPr>
              <w:widowControl w:val="0"/>
            </w:pPr>
            <w:r>
              <w:t>Оплата услуг по вывозу ТКО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</w:pPr>
            <w:r>
              <w:t>65,1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</w:pPr>
            <w:r>
              <w:t>17,1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985" w:type="dxa"/>
          </w:tcPr>
          <w:p w:rsidR="001758B1" w:rsidRDefault="009D11EB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МКУ «Кухаривское»</w:t>
            </w:r>
          </w:p>
        </w:tc>
      </w:tr>
      <w:tr w:rsidR="001758B1" w:rsidTr="00E53C7E">
        <w:tc>
          <w:tcPr>
            <w:tcW w:w="783" w:type="dxa"/>
          </w:tcPr>
          <w:p w:rsidR="001758B1" w:rsidRDefault="001758B1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3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30 255,3</w:t>
            </w:r>
          </w:p>
        </w:tc>
        <w:tc>
          <w:tcPr>
            <w:tcW w:w="1135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16 199,6</w:t>
            </w:r>
          </w:p>
        </w:tc>
        <w:tc>
          <w:tcPr>
            <w:tcW w:w="992" w:type="dxa"/>
          </w:tcPr>
          <w:p w:rsidR="001758B1" w:rsidRDefault="009D11EB">
            <w:pPr>
              <w:widowControl w:val="0"/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6 932,4</w:t>
            </w:r>
          </w:p>
        </w:tc>
        <w:tc>
          <w:tcPr>
            <w:tcW w:w="991" w:type="dxa"/>
          </w:tcPr>
          <w:p w:rsidR="001758B1" w:rsidRDefault="009D11EB">
            <w:pPr>
              <w:widowControl w:val="0"/>
              <w:jc w:val="center"/>
            </w:pPr>
            <w:r>
              <w:rPr>
                <w:b/>
                <w:bCs/>
              </w:rPr>
              <w:t>7 123,3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1758B1" w:rsidTr="00E53C7E">
        <w:tc>
          <w:tcPr>
            <w:tcW w:w="783" w:type="dxa"/>
          </w:tcPr>
          <w:p w:rsidR="001758B1" w:rsidRDefault="001758B1">
            <w:pPr>
              <w:widowControl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17" w:type="dxa"/>
          </w:tcPr>
          <w:p w:rsidR="001758B1" w:rsidRDefault="009D11EB">
            <w:pPr>
              <w:widowControl w:val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Из них в рамках местных инициативе граждан,                       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в том числе в рамках инициативного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бюджетирования</w:t>
            </w:r>
            <w:proofErr w:type="spellEnd"/>
          </w:p>
        </w:tc>
        <w:tc>
          <w:tcPr>
            <w:tcW w:w="1133" w:type="dxa"/>
          </w:tcPr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6 970,6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300,0</w:t>
            </w:r>
          </w:p>
        </w:tc>
        <w:tc>
          <w:tcPr>
            <w:tcW w:w="1135" w:type="dxa"/>
          </w:tcPr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6 970,6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300,0</w:t>
            </w:r>
          </w:p>
        </w:tc>
        <w:tc>
          <w:tcPr>
            <w:tcW w:w="992" w:type="dxa"/>
          </w:tcPr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991" w:type="dxa"/>
          </w:tcPr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1758B1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1758B1" w:rsidRDefault="009D11EB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985" w:type="dxa"/>
          </w:tcPr>
          <w:p w:rsidR="001758B1" w:rsidRDefault="001758B1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1758B1" w:rsidRDefault="001758B1">
      <w:pPr>
        <w:widowControl w:val="0"/>
        <w:ind w:firstLine="851"/>
        <w:rPr>
          <w:sz w:val="28"/>
          <w:szCs w:val="28"/>
        </w:rPr>
      </w:pPr>
    </w:p>
    <w:p w:rsidR="001758B1" w:rsidRDefault="009D11E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пункте 4 «Обоснование ресурсного обеспечения муниципальной программы» слова</w:t>
      </w:r>
      <w:r>
        <w:rPr>
          <w:sz w:val="28"/>
          <w:szCs w:val="28"/>
          <w:shd w:val="clear" w:color="auto" w:fill="FFFFFF"/>
        </w:rPr>
        <w:t xml:space="preserve"> «28 487,4 тыс. рублей» заменить словами «30 255,3 тыс. рублей», слова «2024 год – 14 429,0 тыс. рублей» заменить словами «2024 год – 16 199,6 тыс. рублей».</w:t>
      </w:r>
    </w:p>
    <w:p w:rsidR="001758B1" w:rsidRDefault="001758B1">
      <w:pPr>
        <w:widowControl w:val="0"/>
        <w:ind w:firstLine="709"/>
        <w:jc w:val="both"/>
        <w:rPr>
          <w:sz w:val="28"/>
          <w:szCs w:val="28"/>
          <w:shd w:val="clear" w:color="auto" w:fill="FFFF00"/>
        </w:rPr>
      </w:pPr>
    </w:p>
    <w:p w:rsidR="001758B1" w:rsidRDefault="009D11E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Л.В.</w:t>
      </w:r>
      <w:r w:rsidR="00E53C7E">
        <w:rPr>
          <w:sz w:val="28"/>
          <w:szCs w:val="28"/>
        </w:rPr>
        <w:t xml:space="preserve"> </w:t>
      </w:r>
      <w:r>
        <w:rPr>
          <w:sz w:val="28"/>
          <w:szCs w:val="28"/>
        </w:rPr>
        <w:t>Бутко</w:t>
      </w:r>
    </w:p>
    <w:sectPr w:rsidR="001758B1" w:rsidSect="001758B1">
      <w:pgSz w:w="11906" w:h="16838"/>
      <w:pgMar w:top="851" w:right="567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autoHyphenation/>
  <w:characterSpacingControl w:val="doNotCompress"/>
  <w:compat/>
  <w:rsids>
    <w:rsidRoot w:val="001758B1"/>
    <w:rsid w:val="001758B1"/>
    <w:rsid w:val="00522A67"/>
    <w:rsid w:val="00572DE2"/>
    <w:rsid w:val="0083436C"/>
    <w:rsid w:val="009D11EB"/>
    <w:rsid w:val="00E5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D79E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8D79E0"/>
    <w:pPr>
      <w:keepNext/>
      <w:widowControl w:val="0"/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customStyle="1" w:styleId="Heading3">
    <w:name w:val="Heading 3"/>
    <w:basedOn w:val="a"/>
    <w:next w:val="a"/>
    <w:qFormat/>
    <w:rsid w:val="00E81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a3">
    <w:name w:val="Верхний колонтитул Знак"/>
    <w:link w:val="Header"/>
    <w:uiPriority w:val="99"/>
    <w:qFormat/>
    <w:rsid w:val="005E31D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5"/>
    <w:qFormat/>
    <w:rsid w:val="005E31D0"/>
  </w:style>
  <w:style w:type="character" w:customStyle="1" w:styleId="a6">
    <w:name w:val="Нижний колонтитул Знак"/>
    <w:basedOn w:val="a0"/>
    <w:link w:val="Footer"/>
    <w:qFormat/>
    <w:rsid w:val="00A678C2"/>
    <w:rPr>
      <w:sz w:val="24"/>
      <w:szCs w:val="24"/>
    </w:rPr>
  </w:style>
  <w:style w:type="character" w:styleId="a7">
    <w:name w:val="page number"/>
    <w:basedOn w:val="a0"/>
    <w:qFormat/>
    <w:rsid w:val="00AD5F5A"/>
  </w:style>
  <w:style w:type="paragraph" w:customStyle="1" w:styleId="a8">
    <w:name w:val="Заголовок"/>
    <w:basedOn w:val="a"/>
    <w:next w:val="a9"/>
    <w:qFormat/>
    <w:rsid w:val="001758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758B1"/>
    <w:pPr>
      <w:spacing w:after="140" w:line="276" w:lineRule="auto"/>
    </w:pPr>
  </w:style>
  <w:style w:type="paragraph" w:styleId="aa">
    <w:name w:val="List"/>
    <w:basedOn w:val="a9"/>
    <w:rsid w:val="001758B1"/>
    <w:rPr>
      <w:rFonts w:cs="Mangal"/>
    </w:rPr>
  </w:style>
  <w:style w:type="paragraph" w:customStyle="1" w:styleId="Caption">
    <w:name w:val="Caption"/>
    <w:basedOn w:val="a"/>
    <w:qFormat/>
    <w:rsid w:val="001758B1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758B1"/>
    <w:pPr>
      <w:suppressLineNumbers/>
    </w:pPr>
    <w:rPr>
      <w:rFonts w:cs="Mangal"/>
    </w:rPr>
  </w:style>
  <w:style w:type="paragraph" w:styleId="ac">
    <w:name w:val="Normal (Web)"/>
    <w:basedOn w:val="a"/>
    <w:qFormat/>
    <w:rsid w:val="00245B31"/>
    <w:pPr>
      <w:spacing w:beforeAutospacing="1" w:after="119"/>
    </w:pPr>
  </w:style>
  <w:style w:type="paragraph" w:customStyle="1" w:styleId="ConsPlusNonformat">
    <w:name w:val="ConsPlusNonformat"/>
    <w:qFormat/>
    <w:rsid w:val="00245B31"/>
    <w:rPr>
      <w:rFonts w:ascii="Courier New" w:hAnsi="Courier New" w:cs="Courier New"/>
    </w:rPr>
  </w:style>
  <w:style w:type="paragraph" w:customStyle="1" w:styleId="ad">
    <w:name w:val="Колонтитул"/>
    <w:basedOn w:val="a"/>
    <w:qFormat/>
    <w:rsid w:val="001758B1"/>
  </w:style>
  <w:style w:type="paragraph" w:customStyle="1" w:styleId="Header">
    <w:name w:val="Header"/>
    <w:basedOn w:val="a"/>
    <w:link w:val="a3"/>
    <w:uiPriority w:val="99"/>
    <w:rsid w:val="005E31D0"/>
    <w:pPr>
      <w:widowControl w:val="0"/>
      <w:tabs>
        <w:tab w:val="center" w:pos="4677"/>
        <w:tab w:val="right" w:pos="9355"/>
      </w:tabs>
    </w:pPr>
    <w:rPr>
      <w:rFonts w:eastAsia="Lucida Sans Unicode" w:cs="Tahoma"/>
      <w:color w:val="000000"/>
      <w:lang w:val="en-US" w:eastAsia="en-US" w:bidi="en-US"/>
    </w:rPr>
  </w:style>
  <w:style w:type="paragraph" w:styleId="a5">
    <w:name w:val="Body Text Indent"/>
    <w:basedOn w:val="a"/>
    <w:link w:val="a4"/>
    <w:rsid w:val="005E31D0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qFormat/>
    <w:rsid w:val="005E31D0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styleId="ae">
    <w:name w:val="Balloon Text"/>
    <w:basedOn w:val="a"/>
    <w:semiHidden/>
    <w:qFormat/>
    <w:rsid w:val="00927762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a6"/>
    <w:rsid w:val="00A678C2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1758B1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1758B1"/>
    <w:pPr>
      <w:jc w:val="center"/>
    </w:pPr>
    <w:rPr>
      <w:b/>
      <w:bCs/>
    </w:rPr>
  </w:style>
  <w:style w:type="table" w:styleId="af1">
    <w:name w:val="Table Grid"/>
    <w:basedOn w:val="a1"/>
    <w:rsid w:val="0024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1175</Words>
  <Characters>6701</Characters>
  <Application>Microsoft Office Word</Application>
  <DocSecurity>0</DocSecurity>
  <Lines>55</Lines>
  <Paragraphs>15</Paragraphs>
  <ScaleCrop>false</ScaleCrop>
  <Company>Kraftway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machburo</dc:creator>
  <dc:description/>
  <cp:lastModifiedBy>Windows User</cp:lastModifiedBy>
  <cp:revision>59</cp:revision>
  <cp:lastPrinted>2024-03-13T06:17:00Z</cp:lastPrinted>
  <dcterms:created xsi:type="dcterms:W3CDTF">2014-06-09T07:45:00Z</dcterms:created>
  <dcterms:modified xsi:type="dcterms:W3CDTF">2024-03-13T06:17:00Z</dcterms:modified>
  <dc:language>ru-RU</dc:language>
</cp:coreProperties>
</file>