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АДМИНИСТРАЦИЯ</w:t>
      </w:r>
    </w:p>
    <w:p w:rsidR="00FA6B06" w:rsidRPr="00CB66F4" w:rsidRDefault="008433AB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ДЕРЕЗОВСКОГО</w:t>
      </w:r>
      <w:r w:rsidR="00FA6B06" w:rsidRPr="00CB66F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ПОСТАНОВЛЕНИЕ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Pr="00CB66F4" w:rsidRDefault="00E560B5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«23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декабря 2022г. № 67</w:t>
      </w:r>
    </w:p>
    <w:p w:rsidR="00E560B5" w:rsidRDefault="00E560B5" w:rsidP="00E560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----------------------------------------</w:t>
      </w:r>
    </w:p>
    <w:p w:rsidR="00FA6B06" w:rsidRPr="00CB66F4" w:rsidRDefault="004B7F7D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 xml:space="preserve"> Дерезовка</w:t>
      </w:r>
    </w:p>
    <w:p w:rsidR="00FA6B06" w:rsidRPr="00727330" w:rsidRDefault="00CB66F4" w:rsidP="004B7F7D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8433AB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Дерезовского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</w:t>
      </w:r>
      <w:r w:rsidR="007A6A56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го поселения от 17.12.2015 № 90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8433AB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Дерезовского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7273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727330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6F4" w:rsidRDefault="00B7213D" w:rsidP="00B72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7A6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7A6A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 06.2022 г. № 36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муниципальных услуг», 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7A6A56">
        <w:rPr>
          <w:rFonts w:ascii="Arial" w:eastAsia="Times New Roman" w:hAnsi="Arial" w:cs="Arial"/>
          <w:sz w:val="24"/>
          <w:szCs w:val="24"/>
          <w:lang w:eastAsia="ru-RU"/>
        </w:rPr>
        <w:t>поселения от 17.12.2015 № 90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 </w:t>
      </w:r>
      <w:proofErr w:type="gramEnd"/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Верхнемамонского </w:t>
      </w:r>
      <w:proofErr w:type="gramStart"/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Воронежской области».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CB66F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 исполн</w:t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Pr="00CB66F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4B7F7D" w:rsidRDefault="004B7F7D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433AB" w:rsidRDefault="008433AB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433AB" w:rsidRDefault="00B31F45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8433AB">
        <w:rPr>
          <w:rFonts w:ascii="Arial" w:eastAsia="Calibri" w:hAnsi="Arial" w:cs="Arial"/>
          <w:sz w:val="24"/>
          <w:szCs w:val="24"/>
        </w:rPr>
        <w:t xml:space="preserve">Дерезовского </w:t>
      </w:r>
    </w:p>
    <w:p w:rsidR="00FA6B06" w:rsidRPr="00CB66F4" w:rsidRDefault="00B31F45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сельского поселения</w:t>
      </w:r>
      <w:r w:rsidR="008433AB">
        <w:rPr>
          <w:rFonts w:ascii="Arial" w:eastAsia="Calibri" w:hAnsi="Arial" w:cs="Arial"/>
          <w:sz w:val="24"/>
          <w:szCs w:val="24"/>
        </w:rPr>
        <w:t xml:space="preserve">                                 Бунеева И.Б.</w:t>
      </w:r>
    </w:p>
    <w:p w:rsidR="00FA6B06" w:rsidRDefault="00FA6B06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4B7F7D" w:rsidRDefault="004B7F7D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«____»________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2022 г. №_____</w:t>
      </w:r>
    </w:p>
    <w:p w:rsidR="00820FDA" w:rsidRDefault="00820FDA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Пункт 1.1.2 раздела 1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дополнить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и 6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«5)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в целях возведения некапитальных строений, сооружений, предназначенных для осуществления товарной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20FDA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820FDA">
        <w:rPr>
          <w:rFonts w:ascii="Arial" w:eastAsia="Times New Roman" w:hAnsi="Arial" w:cs="Arial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</w:t>
      </w:r>
      <w:r w:rsidR="00C40798" w:rsidRPr="00F65E2F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C40798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54">
        <w:rPr>
          <w:rFonts w:ascii="Arial" w:hAnsi="Arial" w:cs="Arial"/>
          <w:sz w:val="24"/>
          <w:szCs w:val="24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</w:t>
      </w:r>
      <w:proofErr w:type="gramStart"/>
      <w:r w:rsidRPr="000C2854">
        <w:rPr>
          <w:rFonts w:ascii="Arial" w:hAnsi="Arial" w:cs="Arial"/>
          <w:sz w:val="24"/>
          <w:szCs w:val="24"/>
        </w:rPr>
        <w:t>.».</w:t>
      </w:r>
      <w:proofErr w:type="gramEnd"/>
    </w:p>
    <w:p w:rsidR="00B656FA" w:rsidRPr="00B656FA" w:rsidRDefault="00820FDA" w:rsidP="004B4F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Пункт 2.6.1.1 раздела 2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>егламента изложить в следующей редакции: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FA6B06">
        <w:rPr>
          <w:rFonts w:ascii="Arial" w:eastAsia="Times New Roman" w:hAnsi="Arial" w:cs="Arial"/>
          <w:sz w:val="24"/>
          <w:szCs w:val="24"/>
          <w:lang w:eastAsia="ru-RU"/>
        </w:rPr>
        <w:t>Регионального Портала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56F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B656FA">
        <w:rPr>
          <w:rFonts w:ascii="Arial" w:eastAsia="Times New Roman" w:hAnsi="Arial" w:cs="Arial"/>
          <w:sz w:val="24"/>
          <w:szCs w:val="24"/>
          <w:lang w:eastAsia="ru-RU"/>
        </w:rPr>
        <w:t>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656FA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B656FA">
        <w:rPr>
          <w:rFonts w:ascii="Arial" w:eastAsia="Times New Roman" w:hAnsi="Arial" w:cs="Arial"/>
          <w:sz w:val="24"/>
          <w:szCs w:val="24"/>
          <w:lang w:eastAsia="ru-RU"/>
        </w:rPr>
        <w:t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статьи23Лесного</w:t>
      </w:r>
      <w:proofErr w:type="gramEnd"/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Федерации), в отношении которых подано заявление, - в случае такой необходимости.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Форма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 приведена в приложении № 1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>
        <w:rPr>
          <w:rFonts w:ascii="Arial" w:eastAsia="Times New Roman" w:hAnsi="Arial" w:cs="Arial"/>
          <w:sz w:val="24"/>
          <w:szCs w:val="24"/>
          <w:lang w:eastAsia="ru-RU"/>
        </w:rPr>
        <w:t>Региональном Портале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B656FA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751">
        <w:rPr>
          <w:rFonts w:ascii="Arial" w:eastAsia="Times New Roman" w:hAnsi="Arial" w:cs="Arial"/>
          <w:sz w:val="24"/>
          <w:szCs w:val="24"/>
          <w:lang w:eastAsia="ru-RU"/>
        </w:rPr>
        <w:t>3. Приложение</w:t>
      </w:r>
      <w:r w:rsidRPr="00503FD5">
        <w:rPr>
          <w:rFonts w:ascii="Arial" w:eastAsia="Times New Roman" w:hAnsi="Arial" w:cs="Arial"/>
          <w:sz w:val="24"/>
          <w:szCs w:val="24"/>
          <w:lang w:eastAsia="ru-RU"/>
        </w:rPr>
        <w:t xml:space="preserve"> № 1 к Административному регламенту изложить в новой редакции согласно приложению № 2 к настоящему постановлению.</w:t>
      </w:r>
    </w:p>
    <w:p w:rsidR="00820FDA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 xml:space="preserve">. Абзац 19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823040" w:rsidRDefault="00823040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</w:t>
      </w:r>
      <w:proofErr w:type="spellStart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от 19.04.2022 № </w:t>
      </w:r>
      <w:proofErr w:type="gramStart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>
        <w:rPr>
          <w:rFonts w:ascii="Arial" w:eastAsia="Times New Roman" w:hAnsi="Arial" w:cs="Arial"/>
          <w:sz w:val="24"/>
          <w:szCs w:val="24"/>
          <w:lang w:eastAsia="ru-RU"/>
        </w:rPr>
        <w:t xml:space="preserve"> плане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</w:t>
      </w:r>
      <w:proofErr w:type="spellStart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proofErr w:type="gramStart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/0148);».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FA6B06" w:rsidRDefault="00D35657" w:rsidP="00D3565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не зарегистрированы в Едином государственном реестре недвижимости)</w:t>
      </w: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</w:t>
      </w:r>
      <w:proofErr w:type="gramEnd"/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Default="00D35657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 xml:space="preserve">. Абзац 24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006A35" w:rsidRDefault="00006A3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006A35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</w:t>
      </w:r>
      <w:proofErr w:type="spellStart"/>
      <w:r w:rsidRPr="00006A35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proofErr w:type="gramStart"/>
      <w:r w:rsidRPr="00006A3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/0148, в случае использования земель или земельного участка для размещения элементов благоустройства территории, 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целях расположения мест (площадок) для размещения твердых коммунальных отходов, согласованная с администрацией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уполномоченной на ведение реестра места (площадки) накопления твердых коммунальных отходов;».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Подпункт 2.6.2.1 Административного регламента изложить в следующей редакции: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20651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proofErr w:type="gramStart"/>
      <w:r w:rsidRPr="00D20651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F06CE5" w:rsidRPr="000C2854" w:rsidRDefault="00F06CE5" w:rsidP="00F06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FA6B06" w:rsidRDefault="00F06CE5" w:rsidP="00F06CE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б) выписка из Единого государственного реестра недвижимо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2D63">
        <w:rPr>
          <w:rFonts w:ascii="Arial" w:eastAsia="Times New Roman" w:hAnsi="Arial" w:cs="Arial"/>
          <w:sz w:val="24"/>
          <w:szCs w:val="24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542D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2D63" w:rsidRDefault="00B510B3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Абзац 3 подпункта 3.3.2 Административного регламента исключить. </w:t>
      </w:r>
    </w:p>
    <w:p w:rsidR="00D21167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683" w:rsidRPr="00DA023D">
        <w:rPr>
          <w:rFonts w:ascii="Arial" w:eastAsia="Times New Roman" w:hAnsi="Arial" w:cs="Arial"/>
          <w:sz w:val="24"/>
          <w:szCs w:val="24"/>
          <w:lang w:eastAsia="ru-RU"/>
        </w:rPr>
        <w:t xml:space="preserve">Абзац 2 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213683" w:rsidRDefault="00D21167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«3.6. </w:t>
      </w:r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</w:t>
      </w:r>
      <w:proofErr w:type="gramStart"/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D21167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41D8E">
        <w:rPr>
          <w:rFonts w:ascii="Arial" w:eastAsia="Times New Roman" w:hAnsi="Arial" w:cs="Arial"/>
          <w:sz w:val="24"/>
          <w:szCs w:val="24"/>
          <w:lang w:eastAsia="ru-RU"/>
        </w:rPr>
        <w:t>. Раздел 5 изложить в следующей редакции:</w:t>
      </w:r>
    </w:p>
    <w:p w:rsidR="00741D8E" w:rsidRPr="00741D8E" w:rsidRDefault="00741D8E" w:rsidP="00C67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(внесудебный) </w:t>
      </w:r>
      <w:proofErr w:type="spell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порядокобжалования</w:t>
      </w:r>
      <w:proofErr w:type="spell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нарушение срока предоставления муниципальной услуги.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7A6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proofErr w:type="spell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spellEnd"/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81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spellStart"/>
      <w:r w:rsidR="0047781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spellEnd"/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администрацию, МФЦ либо в департамент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цифрового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Воронежской области, а также в привлекаемые организации.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proofErr w:type="spellStart"/>
      <w:r w:rsidR="008433AB">
        <w:rPr>
          <w:rFonts w:ascii="Arial" w:eastAsia="Times New Roman" w:hAnsi="Arial" w:cs="Arial"/>
          <w:sz w:val="24"/>
          <w:szCs w:val="24"/>
          <w:lang w:val="en-US" w:eastAsia="ru-RU"/>
        </w:rPr>
        <w:t>derezovskoe</w:t>
      </w:r>
      <w:proofErr w:type="spellEnd"/>
      <w:r w:rsidR="008433AB" w:rsidRPr="008433A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8433A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C28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41D8E" w:rsidRPr="00741D8E" w:rsidRDefault="00D06D41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41D8E"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1C3AF9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spellEnd"/>
      <w:r w:rsidR="001C3AF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5.10.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ее регистрации.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5.11. Должностное лицо или орган, уполномоченные на рассмотрение жалобы, многофункциональный центр, департамент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цифрового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Воронежской области отказывают в удовлетворении жалобы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5.12.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2) отсутствие возможности прочитать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какую-либо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5.14.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5.15. В случае признания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5.16. В случае установления в ходе или по результатам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9F4451"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9F4451">
        <w:rPr>
          <w:rFonts w:ascii="Arial" w:eastAsia="Times New Roman" w:hAnsi="Arial" w:cs="Arial"/>
          <w:sz w:val="24"/>
          <w:szCs w:val="24"/>
          <w:lang w:eastAsia="ru-RU"/>
        </w:rPr>
        <w:t>«___»_______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2022 г. №_____</w:t>
      </w:r>
    </w:p>
    <w:p w:rsidR="00741D8E" w:rsidRDefault="00741D8E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«Приложение №1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r w:rsidR="009F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Дерезовского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9F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Воронежской области 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жительства)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удостоверяющего личность)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 государственной регистрации в ЕГРЮЛ)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(ИНН)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B510B3" w:rsidRDefault="00503FD5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B510B3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03FD5"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Прошу выдать разрешение на использование ___________________________________________________________, имеющего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(указать: земель, земельного участка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______________________________________________,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</w:t>
      </w: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планируется использование всего земельного участка или его части)_____________________________________________________________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</w:t>
      </w:r>
      <w:proofErr w:type="gramEnd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 ______________________________________________________,</w:t>
      </w: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  <w:proofErr w:type="gramEnd"/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23Лесного</w:t>
      </w:r>
      <w:proofErr w:type="gramEnd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 Российской Федерации), в отношении которых подано заявление, - в случае такой необходимости).</w:t>
      </w:r>
      <w:proofErr w:type="gramEnd"/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прилагаемые к заявлению: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____________20___г.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____________________ ________________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503FD5" w:rsidRPr="00503FD5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</w:t>
      </w: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)(</w:t>
      </w:r>
      <w:proofErr w:type="gramEnd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 (фамилия, инициалы)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М.П.»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03FD5" w:rsidSect="008433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E4" w:rsidRDefault="008A25E4" w:rsidP="00741D8E">
      <w:pPr>
        <w:spacing w:after="0" w:line="240" w:lineRule="auto"/>
      </w:pPr>
      <w:r>
        <w:separator/>
      </w:r>
    </w:p>
  </w:endnote>
  <w:endnote w:type="continuationSeparator" w:id="1">
    <w:p w:rsidR="008A25E4" w:rsidRDefault="008A25E4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E4" w:rsidRDefault="008A25E4" w:rsidP="00741D8E">
      <w:pPr>
        <w:spacing w:after="0" w:line="240" w:lineRule="auto"/>
      </w:pPr>
      <w:r>
        <w:separator/>
      </w:r>
    </w:p>
  </w:footnote>
  <w:footnote w:type="continuationSeparator" w:id="1">
    <w:p w:rsidR="008A25E4" w:rsidRDefault="008A25E4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51"/>
    <w:rsid w:val="00006A35"/>
    <w:rsid w:val="00043643"/>
    <w:rsid w:val="0009342B"/>
    <w:rsid w:val="000940A6"/>
    <w:rsid w:val="000C2854"/>
    <w:rsid w:val="000E4D06"/>
    <w:rsid w:val="000F124E"/>
    <w:rsid w:val="00124DBE"/>
    <w:rsid w:val="00173D21"/>
    <w:rsid w:val="001925BC"/>
    <w:rsid w:val="001C027A"/>
    <w:rsid w:val="001C3AF9"/>
    <w:rsid w:val="00213683"/>
    <w:rsid w:val="002506E9"/>
    <w:rsid w:val="002E3421"/>
    <w:rsid w:val="00444B11"/>
    <w:rsid w:val="00477817"/>
    <w:rsid w:val="004B4F4F"/>
    <w:rsid w:val="004B7F7D"/>
    <w:rsid w:val="004F5657"/>
    <w:rsid w:val="00503FD5"/>
    <w:rsid w:val="00542D63"/>
    <w:rsid w:val="005E0530"/>
    <w:rsid w:val="007012E7"/>
    <w:rsid w:val="00727330"/>
    <w:rsid w:val="00741D8E"/>
    <w:rsid w:val="0074743D"/>
    <w:rsid w:val="007A6A56"/>
    <w:rsid w:val="00820FDA"/>
    <w:rsid w:val="00823040"/>
    <w:rsid w:val="008433AB"/>
    <w:rsid w:val="008A25E4"/>
    <w:rsid w:val="008A6070"/>
    <w:rsid w:val="009078DB"/>
    <w:rsid w:val="00940EC6"/>
    <w:rsid w:val="00944B42"/>
    <w:rsid w:val="009E4985"/>
    <w:rsid w:val="009F4451"/>
    <w:rsid w:val="00A1080A"/>
    <w:rsid w:val="00A22E20"/>
    <w:rsid w:val="00A47943"/>
    <w:rsid w:val="00A562F1"/>
    <w:rsid w:val="00AB3F9C"/>
    <w:rsid w:val="00B31F45"/>
    <w:rsid w:val="00B510B3"/>
    <w:rsid w:val="00B55B01"/>
    <w:rsid w:val="00B656FA"/>
    <w:rsid w:val="00B7213D"/>
    <w:rsid w:val="00C2098C"/>
    <w:rsid w:val="00C40798"/>
    <w:rsid w:val="00C677F1"/>
    <w:rsid w:val="00CB66F4"/>
    <w:rsid w:val="00D06D41"/>
    <w:rsid w:val="00D17F51"/>
    <w:rsid w:val="00D20651"/>
    <w:rsid w:val="00D21167"/>
    <w:rsid w:val="00D35657"/>
    <w:rsid w:val="00D91391"/>
    <w:rsid w:val="00DA023D"/>
    <w:rsid w:val="00E25D65"/>
    <w:rsid w:val="00E560B5"/>
    <w:rsid w:val="00E71EDC"/>
    <w:rsid w:val="00EA4010"/>
    <w:rsid w:val="00EE1CF9"/>
    <w:rsid w:val="00F06CE5"/>
    <w:rsid w:val="00F65E2F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der</cp:lastModifiedBy>
  <cp:revision>4</cp:revision>
  <dcterms:created xsi:type="dcterms:W3CDTF">2022-12-21T11:41:00Z</dcterms:created>
  <dcterms:modified xsi:type="dcterms:W3CDTF">2022-12-23T13:18:00Z</dcterms:modified>
</cp:coreProperties>
</file>