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30" w:rsidRPr="00A66B30" w:rsidRDefault="00A66B30" w:rsidP="00A66B30">
      <w:pPr>
        <w:pStyle w:val="11"/>
        <w:rPr>
          <w:b w:val="0"/>
          <w:sz w:val="24"/>
          <w:szCs w:val="24"/>
        </w:rPr>
      </w:pPr>
      <w:r w:rsidRPr="00A66B30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30" w:rsidRPr="00A66B30" w:rsidRDefault="00A66B30" w:rsidP="00A66B30">
      <w:pPr>
        <w:pStyle w:val="11"/>
        <w:rPr>
          <w:b w:val="0"/>
          <w:sz w:val="24"/>
          <w:szCs w:val="24"/>
        </w:rPr>
      </w:pPr>
      <w:r w:rsidRPr="00A66B30">
        <w:rPr>
          <w:b w:val="0"/>
          <w:sz w:val="24"/>
          <w:szCs w:val="24"/>
        </w:rPr>
        <w:t xml:space="preserve">Совет народных депутатов </w:t>
      </w:r>
    </w:p>
    <w:p w:rsidR="00A66B30" w:rsidRPr="00A66B30" w:rsidRDefault="00A66B30" w:rsidP="00A66B30">
      <w:pPr>
        <w:pStyle w:val="11"/>
        <w:rPr>
          <w:b w:val="0"/>
          <w:sz w:val="24"/>
          <w:szCs w:val="24"/>
        </w:rPr>
      </w:pPr>
      <w:r w:rsidRPr="00A66B30">
        <w:rPr>
          <w:b w:val="0"/>
          <w:sz w:val="24"/>
          <w:szCs w:val="24"/>
        </w:rPr>
        <w:t xml:space="preserve">Верхнемамонского муниципального района </w:t>
      </w:r>
    </w:p>
    <w:p w:rsidR="00A66B30" w:rsidRPr="00A66B30" w:rsidRDefault="00A66B30" w:rsidP="00A66B30">
      <w:pPr>
        <w:pStyle w:val="11"/>
        <w:rPr>
          <w:b w:val="0"/>
          <w:sz w:val="24"/>
          <w:szCs w:val="24"/>
        </w:rPr>
      </w:pPr>
      <w:r w:rsidRPr="00A66B30">
        <w:rPr>
          <w:b w:val="0"/>
          <w:sz w:val="24"/>
          <w:szCs w:val="24"/>
        </w:rPr>
        <w:t>Воронежской области</w:t>
      </w:r>
    </w:p>
    <w:p w:rsidR="00A66B30" w:rsidRPr="00A66B30" w:rsidRDefault="00A66B30" w:rsidP="00A66B30">
      <w:pPr>
        <w:pStyle w:val="11"/>
        <w:rPr>
          <w:b w:val="0"/>
          <w:sz w:val="24"/>
          <w:szCs w:val="24"/>
        </w:rPr>
      </w:pPr>
    </w:p>
    <w:p w:rsidR="00A66B30" w:rsidRPr="00A66B30" w:rsidRDefault="00A66B30" w:rsidP="00A66B30">
      <w:pPr>
        <w:pStyle w:val="11"/>
        <w:rPr>
          <w:b w:val="0"/>
          <w:sz w:val="24"/>
          <w:szCs w:val="24"/>
        </w:rPr>
      </w:pPr>
      <w:r w:rsidRPr="00A66B30">
        <w:rPr>
          <w:b w:val="0"/>
          <w:sz w:val="24"/>
          <w:szCs w:val="24"/>
        </w:rPr>
        <w:t>РЕШЕНИЕ</w:t>
      </w:r>
    </w:p>
    <w:p w:rsidR="00A66B30" w:rsidRPr="00A66B30" w:rsidRDefault="00A66B30" w:rsidP="00A66B30">
      <w:pPr>
        <w:jc w:val="center"/>
        <w:rPr>
          <w:rFonts w:ascii="Arial" w:hAnsi="Arial" w:cs="Arial"/>
          <w:sz w:val="24"/>
          <w:szCs w:val="24"/>
        </w:rPr>
      </w:pPr>
    </w:p>
    <w:p w:rsidR="00A66B30" w:rsidRPr="00A66B30" w:rsidRDefault="00A66B30" w:rsidP="00A66B30">
      <w:pPr>
        <w:pStyle w:val="2"/>
        <w:rPr>
          <w:b w:val="0"/>
          <w:sz w:val="24"/>
          <w:szCs w:val="24"/>
        </w:rPr>
      </w:pPr>
      <w:r w:rsidRPr="00A66B30">
        <w:rPr>
          <w:b w:val="0"/>
          <w:sz w:val="24"/>
          <w:szCs w:val="24"/>
        </w:rPr>
        <w:t xml:space="preserve">от </w:t>
      </w:r>
      <w:r w:rsidR="00E94350">
        <w:rPr>
          <w:b w:val="0"/>
          <w:sz w:val="24"/>
          <w:szCs w:val="24"/>
        </w:rPr>
        <w:t xml:space="preserve">26 </w:t>
      </w:r>
      <w:r w:rsidRPr="00A66B30">
        <w:rPr>
          <w:b w:val="0"/>
          <w:sz w:val="24"/>
          <w:szCs w:val="24"/>
        </w:rPr>
        <w:t xml:space="preserve"> декабря 2016г. № </w:t>
      </w:r>
      <w:r w:rsidR="00E94350">
        <w:rPr>
          <w:b w:val="0"/>
          <w:sz w:val="24"/>
          <w:szCs w:val="24"/>
        </w:rPr>
        <w:t>46</w:t>
      </w:r>
    </w:p>
    <w:p w:rsidR="00A66B30" w:rsidRPr="00A66B30" w:rsidRDefault="00A66B30" w:rsidP="00A66B30">
      <w:pPr>
        <w:pStyle w:val="2"/>
        <w:rPr>
          <w:b w:val="0"/>
          <w:sz w:val="24"/>
          <w:szCs w:val="24"/>
        </w:rPr>
      </w:pPr>
      <w:r w:rsidRPr="00A66B30">
        <w:rPr>
          <w:b w:val="0"/>
          <w:sz w:val="24"/>
          <w:szCs w:val="24"/>
        </w:rPr>
        <w:t>--------------------------------------------</w:t>
      </w:r>
    </w:p>
    <w:p w:rsidR="00A66B30" w:rsidRPr="00A66B30" w:rsidRDefault="00A66B30" w:rsidP="00A66B30">
      <w:pPr>
        <w:pStyle w:val="2"/>
        <w:rPr>
          <w:b w:val="0"/>
          <w:sz w:val="24"/>
          <w:szCs w:val="24"/>
        </w:rPr>
      </w:pPr>
      <w:r w:rsidRPr="00A66B30">
        <w:rPr>
          <w:b w:val="0"/>
          <w:sz w:val="24"/>
          <w:szCs w:val="24"/>
        </w:rPr>
        <w:t>с. Верхний Мамон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jc w:val="center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землях особо охраняемых территорий рекреационного назначения </w:t>
      </w:r>
      <w:r w:rsidRPr="00A66B3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о статьями 94, 95,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98 Земельного кодекса Российской Федерации,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14.03.1995 № 33-ФЗ «Об особо охраняемых природных территориях», 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357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отнесения земель к землям особо охраняемых территорий рекреационного назначения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 № 1.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Порядок использования и охраны </w:t>
      </w:r>
      <w:proofErr w:type="gramStart"/>
      <w:r w:rsidRPr="006E3577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proofErr w:type="gramEnd"/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особо охраняемых территорий рекреационного назначения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 № 2.</w:t>
      </w:r>
    </w:p>
    <w:p w:rsidR="006E3577" w:rsidRPr="00A66B30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66B30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официальном периодическом печатном издании «Верхнемамонский муниципальный вестник».</w:t>
      </w:r>
    </w:p>
    <w:p w:rsidR="006E3577" w:rsidRPr="00A66B30" w:rsidRDefault="006E3577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831" w:rsidRDefault="00C44831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831" w:rsidRDefault="00C44831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831" w:rsidRDefault="00C44831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831" w:rsidRDefault="00C44831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831" w:rsidRDefault="00C44831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A66B30" w:rsidRDefault="006E3577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66B30">
        <w:rPr>
          <w:rFonts w:ascii="Arial" w:eastAsia="Times New Roman" w:hAnsi="Arial" w:cs="Arial"/>
          <w:sz w:val="24"/>
          <w:szCs w:val="24"/>
          <w:lang w:eastAsia="ru-RU"/>
        </w:rPr>
        <w:t>Глава Верхнемамонского</w:t>
      </w:r>
    </w:p>
    <w:p w:rsidR="006E3577" w:rsidRPr="00A66B30" w:rsidRDefault="006E3577" w:rsidP="00A66B30">
      <w:pPr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66B3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C448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В.И. Дудкин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6E3577" w:rsidRPr="006E3577">
          <w:pgSz w:w="11906" w:h="16838"/>
          <w:pgMar w:top="1134" w:right="567" w:bottom="1134" w:left="1701" w:header="720" w:footer="720" w:gutter="0"/>
          <w:cols w:space="720"/>
        </w:sect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6E3577" w:rsidRPr="006E3577" w:rsidRDefault="006E3577" w:rsidP="00A66B30">
      <w:pPr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районаВоронежской области</w:t>
      </w:r>
    </w:p>
    <w:p w:rsidR="006E3577" w:rsidRPr="00A66B30" w:rsidRDefault="006E3577" w:rsidP="00A66B30">
      <w:pPr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D7E6E">
        <w:rPr>
          <w:rFonts w:ascii="Arial" w:eastAsia="Times New Roman" w:hAnsi="Arial" w:cs="Arial"/>
          <w:sz w:val="24"/>
          <w:szCs w:val="24"/>
          <w:lang w:eastAsia="ru-RU"/>
        </w:rPr>
        <w:t>26.12.2016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D7E6E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A66B30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отнесения земель к землям особо охраняемых территорий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рекреационного назначения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Земельным кодексом Российской Федерации в целях обеспечения сохранности земель, используемых для организации отдыха, туризма, физкультурно-оздоровительной деятельности граждан на территории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2. Земли особо охраняемых территорий рекреационного назначения определяются в документах территориального планирования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3. В целях отнесения </w:t>
      </w:r>
      <w:proofErr w:type="gramStart"/>
      <w:r w:rsidRPr="006E3577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proofErr w:type="gramEnd"/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к землям особо охраняемых территорий собственники земельных участков, арендаторы земельных участков, заключившие договоры аренды на срок более 5 лет, юридические и физические лица, обладающие земельными участками на праве постоянного (бессрочного) пользования, физические лица, обладающие земельными участками на праве пожизненного наследуемого владения,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земельных участков, государственная собственность на которые не разграничена, направляют в </w:t>
      </w:r>
      <w:proofErr w:type="gramStart"/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установленном порядке ходатайство в исполнительный орган государственной власти Воронежской области, уполномоченный на рассмотрение ходатайств о переводе земель или земельных участков в земли особо охраняемых территорий, с указанием вида особо охраняемых территорий в зависимости от целевого назначения (рекреационного). </w:t>
      </w:r>
      <w:proofErr w:type="gramEnd"/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К ходатайству о переводе земель в земли особо охраняемых территорий прилагаются: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1) опись документов, прилагаемых к ходатайству;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лиц, учредительные документы юридического лица;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3)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(далее – земельный участок), или кадастровый паспорт такого земельного участка;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4) выписка из Единого государственного реестра прав на недвижимое имущество и сделок с ним о правах на земельный участок;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5) свидетельство о государственной регистрации права на земельный участок или справка исполнительно-распорядительного органа муниципального образования об отнесении земельного участка </w:t>
      </w:r>
      <w:bookmarkStart w:id="0" w:name="_GoBack"/>
      <w:bookmarkEnd w:id="0"/>
      <w:r w:rsidRPr="006E3577">
        <w:rPr>
          <w:rFonts w:ascii="Arial" w:eastAsia="Times New Roman" w:hAnsi="Arial" w:cs="Arial"/>
          <w:sz w:val="24"/>
          <w:szCs w:val="24"/>
          <w:lang w:eastAsia="ru-RU"/>
        </w:rPr>
        <w:t>к землям, государственная собственность на которые не разграничена;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6) согласие правообладателя земельного участка на перевод земельного участка из состава земель одной категории в другую;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7) заключение департамента архитектуры и строительной политики 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Воронежской области о соответствии целевого назначения земельного участка документам территориального планирования и градостроительного зонирования;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8) копия фрагмента генерального плана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 отображением земельного участка, подготовленная администрацией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заверенная департаментом архитектуры и строительной политики Воронежской области;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9) документ о согласовании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органом местного самоуправления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перевода земельного участка (с приложением документов, подтверждающих полномочия лица, подписавшего документ о согласовании);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10) решение администрации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 полном или частичном изъятии земельного участка из хозяйственного использования и оборота в случае перевода земельного участка в категорию земель особо охраняемых территорий и объектов;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11) утвержденный порядок отнесения земель к землям особо охраняемых территорий и объектов на территории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случае перевода земельного участка в категорию земель особо охраняемых территорий и объектов.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12) заключение государственной экологической экспертизы, в случае если ее проведение предусмотрено федеральными законами</w:t>
      </w:r>
      <w:r w:rsidRPr="00A66B3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E3577" w:rsidRPr="006E3577" w:rsidRDefault="006E3577" w:rsidP="00A66B30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Документы должны быть пронумерованы согласно описи и представлены в двух экземплярах: первый – в подлинниках или надлежащим образом заверенных копиях, второй – в копиях.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Документы, прилагаемые к ходатайству о переводе земель из одной категории в другую, направляются заинтересованным лицом в департамент имущественных и земельных отношений Воронежской области.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4. Земельные участки из земель особо охраняемых территорий рекреационного назначения могут предоставляться юридическим и физическим лицам в соответствии с нормами земельного законодательства и установленным порядком их использования и охраны.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5. Все особо охраняемые территории местного значения учитываются при разработке территориальных комплексных схем, схем землеустройства и районной планировки.</w:t>
      </w:r>
    </w:p>
    <w:p w:rsidR="006E3577" w:rsidRPr="006E3577" w:rsidRDefault="006E3577" w:rsidP="00A66B30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6E3577" w:rsidRPr="006E3577">
          <w:pgSz w:w="11906" w:h="16838"/>
          <w:pgMar w:top="1134" w:right="567" w:bottom="1134" w:left="1701" w:header="720" w:footer="720" w:gutter="0"/>
          <w:cols w:space="720"/>
        </w:sectPr>
      </w:pPr>
    </w:p>
    <w:p w:rsidR="006E3577" w:rsidRPr="006E3577" w:rsidRDefault="006E3577" w:rsidP="00A66B30">
      <w:pPr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6B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6E3577" w:rsidRPr="006E3577" w:rsidRDefault="006E3577" w:rsidP="00A66B30">
      <w:pPr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районаВоронежской области</w:t>
      </w:r>
    </w:p>
    <w:p w:rsidR="006E3577" w:rsidRPr="00A66B30" w:rsidRDefault="006E3577" w:rsidP="00A66B30">
      <w:pPr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_______ </w:t>
      </w:r>
      <w:proofErr w:type="gramStart"/>
      <w:r w:rsidRPr="00A66B3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A66B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использования и охраны земель особо охраняемых территорий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рекреационного назначения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E3577" w:rsidRPr="006E3577" w:rsidRDefault="006E3577" w:rsidP="00A66B3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1. Земельные участки, включенные в состав зон особо охраняемых территорий рекреационного назначения, используются в соответствии с требованиями земельного законодательства Российской Федерации и Воронежской области, настоящего Порядка, других муниципальных правовых актов органов местного самоуправления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исходя из принципов сохранения и улучшения </w:t>
      </w:r>
      <w:proofErr w:type="gramStart"/>
      <w:r w:rsidRPr="006E3577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proofErr w:type="gramEnd"/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особо охраняемых природных территорий, используемых для организации отдыха, туризма, физкультурно-оздоровительной деятельности граждан на территории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2. Для всех зон особо охраняемых территорий рекреационного назначения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Особенности использования земель особо охраняемых территорий местного значения определяются муниципальным правовым актом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 отнесении земель, расположенных на территории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к указанным землям.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3. Предоставление земельных участков в зонах особо охраняемых территорий рекреационного назначения гражданам и юридическим лицам в собственность не допускается.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4. Изменение границ и упразднение особо охраняемой территории местного значения (в случае наступления чрезвычайных и непредотвратимых обстоятельств или в других случаях, установленных Федеральным законодательством или законом Воронежской области) утверждается муниципальным правовым актом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5. Интересы охраны земель особо охраняемых природных территорий местного значения приоритетны перед интересами их использования.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6. Недопустима хозяйственная деятельность на землях особо охраняемых территорий местного значения, несовместимая с их режимом (кроме деятельности, обеспечивающей сохранение экологического равновесия на этих территориях).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7. Вопросы охраны и использования </w:t>
      </w:r>
      <w:proofErr w:type="gramStart"/>
      <w:r w:rsidRPr="006E3577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proofErr w:type="gramEnd"/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особо охраняемых природных территорий взаимно согласуются между органами государственной власти Воронежской области, органами местного самоуправления 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органами местного самоуправления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Использование земель особо охраняемых территорий местного значения допускается только в соответствии с их целевым характером.</w:t>
      </w:r>
    </w:p>
    <w:p w:rsidR="006E3577" w:rsidRPr="006E3577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>9. К решению задач в области охраны особо охраняемых территорий местного значения могут привлекаться граждане и их объединения, в т. ч. общественные организации, другие юридические лица.</w:t>
      </w:r>
    </w:p>
    <w:p w:rsidR="00EB1CBD" w:rsidRPr="00A66B30" w:rsidRDefault="006E3577" w:rsidP="00A66B3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10. Контроль за соблюдением порядка использования и </w:t>
      </w:r>
      <w:proofErr w:type="gramStart"/>
      <w:r w:rsidRPr="006E3577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proofErr w:type="gramEnd"/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особо охраняемых территорий местного значения осуществляется администрацией</w:t>
      </w:r>
      <w:r w:rsidRPr="00A66B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6E35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66B30" w:rsidRPr="00A66B30">
        <w:rPr>
          <w:rFonts w:ascii="Arial" w:eastAsia="Times New Roman" w:hAnsi="Arial" w:cs="Arial"/>
          <w:sz w:val="24"/>
          <w:szCs w:val="24"/>
          <w:lang w:eastAsia="ru-RU"/>
        </w:rPr>
        <w:t>ного района Воронежской области.</w:t>
      </w:r>
    </w:p>
    <w:sectPr w:rsidR="00EB1CBD" w:rsidRPr="00A66B30" w:rsidSect="00FD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577"/>
    <w:rsid w:val="00005BBC"/>
    <w:rsid w:val="00007350"/>
    <w:rsid w:val="00007435"/>
    <w:rsid w:val="000079A7"/>
    <w:rsid w:val="00011FD4"/>
    <w:rsid w:val="00015353"/>
    <w:rsid w:val="00015D0D"/>
    <w:rsid w:val="00021386"/>
    <w:rsid w:val="00026DD5"/>
    <w:rsid w:val="00041F20"/>
    <w:rsid w:val="00044DC5"/>
    <w:rsid w:val="00050BF0"/>
    <w:rsid w:val="00054A8D"/>
    <w:rsid w:val="00054FDC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7EBE"/>
    <w:rsid w:val="000A03F4"/>
    <w:rsid w:val="000A3766"/>
    <w:rsid w:val="000A3838"/>
    <w:rsid w:val="000A45ED"/>
    <w:rsid w:val="000B09D8"/>
    <w:rsid w:val="000B4E67"/>
    <w:rsid w:val="000B5FAD"/>
    <w:rsid w:val="000B7520"/>
    <w:rsid w:val="000C1A79"/>
    <w:rsid w:val="000C316D"/>
    <w:rsid w:val="000C6CFE"/>
    <w:rsid w:val="000C75A1"/>
    <w:rsid w:val="000D7EC9"/>
    <w:rsid w:val="000E0586"/>
    <w:rsid w:val="000E36D6"/>
    <w:rsid w:val="000E7600"/>
    <w:rsid w:val="000F39F7"/>
    <w:rsid w:val="001011B4"/>
    <w:rsid w:val="00105F6A"/>
    <w:rsid w:val="0011008D"/>
    <w:rsid w:val="00111509"/>
    <w:rsid w:val="00111BD0"/>
    <w:rsid w:val="00112335"/>
    <w:rsid w:val="0012422C"/>
    <w:rsid w:val="00130579"/>
    <w:rsid w:val="00141044"/>
    <w:rsid w:val="00143BC9"/>
    <w:rsid w:val="00143C6A"/>
    <w:rsid w:val="00144A0D"/>
    <w:rsid w:val="00144BFD"/>
    <w:rsid w:val="001458D4"/>
    <w:rsid w:val="001514CF"/>
    <w:rsid w:val="00157C6B"/>
    <w:rsid w:val="00161A23"/>
    <w:rsid w:val="00166E35"/>
    <w:rsid w:val="00171A79"/>
    <w:rsid w:val="001743B4"/>
    <w:rsid w:val="00175225"/>
    <w:rsid w:val="00184D1E"/>
    <w:rsid w:val="00185286"/>
    <w:rsid w:val="00191235"/>
    <w:rsid w:val="001A4E2A"/>
    <w:rsid w:val="001B2819"/>
    <w:rsid w:val="001B2E0C"/>
    <w:rsid w:val="001B5B0D"/>
    <w:rsid w:val="001B5C22"/>
    <w:rsid w:val="001C0C49"/>
    <w:rsid w:val="001C1091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97FB1"/>
    <w:rsid w:val="002A10D1"/>
    <w:rsid w:val="002B14C0"/>
    <w:rsid w:val="002B6AC5"/>
    <w:rsid w:val="002C138E"/>
    <w:rsid w:val="002C1C7C"/>
    <w:rsid w:val="002D3732"/>
    <w:rsid w:val="002E0877"/>
    <w:rsid w:val="002E12F0"/>
    <w:rsid w:val="002F1190"/>
    <w:rsid w:val="002F462D"/>
    <w:rsid w:val="002F5700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3DBE"/>
    <w:rsid w:val="00365415"/>
    <w:rsid w:val="00365C6E"/>
    <w:rsid w:val="00373990"/>
    <w:rsid w:val="0037460C"/>
    <w:rsid w:val="00384828"/>
    <w:rsid w:val="0039250B"/>
    <w:rsid w:val="0039319D"/>
    <w:rsid w:val="003960D4"/>
    <w:rsid w:val="00396BBD"/>
    <w:rsid w:val="003A34C6"/>
    <w:rsid w:val="003B049B"/>
    <w:rsid w:val="003B1B01"/>
    <w:rsid w:val="003B7F6A"/>
    <w:rsid w:val="003C33D6"/>
    <w:rsid w:val="003C509F"/>
    <w:rsid w:val="003D3B80"/>
    <w:rsid w:val="003F1267"/>
    <w:rsid w:val="003F272B"/>
    <w:rsid w:val="003F371D"/>
    <w:rsid w:val="00405128"/>
    <w:rsid w:val="00411402"/>
    <w:rsid w:val="00412074"/>
    <w:rsid w:val="00412528"/>
    <w:rsid w:val="0042264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61D0"/>
    <w:rsid w:val="00461E09"/>
    <w:rsid w:val="00463110"/>
    <w:rsid w:val="004645DB"/>
    <w:rsid w:val="004661A0"/>
    <w:rsid w:val="00467431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6406"/>
    <w:rsid w:val="004E047A"/>
    <w:rsid w:val="004E554A"/>
    <w:rsid w:val="004E75AC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41137"/>
    <w:rsid w:val="00541A5C"/>
    <w:rsid w:val="0054753A"/>
    <w:rsid w:val="0055282E"/>
    <w:rsid w:val="0055300D"/>
    <w:rsid w:val="00557631"/>
    <w:rsid w:val="00565976"/>
    <w:rsid w:val="005716CE"/>
    <w:rsid w:val="00571FE8"/>
    <w:rsid w:val="00574D01"/>
    <w:rsid w:val="005800A0"/>
    <w:rsid w:val="0058320E"/>
    <w:rsid w:val="00590200"/>
    <w:rsid w:val="005B34D1"/>
    <w:rsid w:val="005B36AA"/>
    <w:rsid w:val="005B7369"/>
    <w:rsid w:val="005C4553"/>
    <w:rsid w:val="005D27BB"/>
    <w:rsid w:val="005D54DB"/>
    <w:rsid w:val="005D7E6E"/>
    <w:rsid w:val="005E5870"/>
    <w:rsid w:val="005E633A"/>
    <w:rsid w:val="005E7E84"/>
    <w:rsid w:val="005F346A"/>
    <w:rsid w:val="005F350A"/>
    <w:rsid w:val="006029C9"/>
    <w:rsid w:val="00602C9D"/>
    <w:rsid w:val="0061006E"/>
    <w:rsid w:val="00612F65"/>
    <w:rsid w:val="00623652"/>
    <w:rsid w:val="006302CD"/>
    <w:rsid w:val="00632326"/>
    <w:rsid w:val="00634973"/>
    <w:rsid w:val="00635CBF"/>
    <w:rsid w:val="00637490"/>
    <w:rsid w:val="00645675"/>
    <w:rsid w:val="006605B3"/>
    <w:rsid w:val="00660B77"/>
    <w:rsid w:val="00660D6B"/>
    <w:rsid w:val="00662AA2"/>
    <w:rsid w:val="0066549B"/>
    <w:rsid w:val="00667198"/>
    <w:rsid w:val="006A048E"/>
    <w:rsid w:val="006A35E7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577"/>
    <w:rsid w:val="006E3C78"/>
    <w:rsid w:val="006F4045"/>
    <w:rsid w:val="00703DA0"/>
    <w:rsid w:val="0070734E"/>
    <w:rsid w:val="00710868"/>
    <w:rsid w:val="00711C45"/>
    <w:rsid w:val="0071514F"/>
    <w:rsid w:val="00717C26"/>
    <w:rsid w:val="0072328D"/>
    <w:rsid w:val="00730112"/>
    <w:rsid w:val="007439E0"/>
    <w:rsid w:val="0074429E"/>
    <w:rsid w:val="0074655F"/>
    <w:rsid w:val="007465C9"/>
    <w:rsid w:val="007471C7"/>
    <w:rsid w:val="00753013"/>
    <w:rsid w:val="007552E0"/>
    <w:rsid w:val="00757982"/>
    <w:rsid w:val="00761DAD"/>
    <w:rsid w:val="00767E61"/>
    <w:rsid w:val="0077166A"/>
    <w:rsid w:val="007778E3"/>
    <w:rsid w:val="007803D8"/>
    <w:rsid w:val="007927D7"/>
    <w:rsid w:val="0079310D"/>
    <w:rsid w:val="00793EB8"/>
    <w:rsid w:val="0079543E"/>
    <w:rsid w:val="00796B0C"/>
    <w:rsid w:val="007A5781"/>
    <w:rsid w:val="007C7A78"/>
    <w:rsid w:val="007E21DD"/>
    <w:rsid w:val="007E61B9"/>
    <w:rsid w:val="007E6F66"/>
    <w:rsid w:val="007F09BA"/>
    <w:rsid w:val="007F3C66"/>
    <w:rsid w:val="007F49F7"/>
    <w:rsid w:val="007F6D90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740E1"/>
    <w:rsid w:val="00885B02"/>
    <w:rsid w:val="008862CD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B786F"/>
    <w:rsid w:val="008C5B45"/>
    <w:rsid w:val="008C791D"/>
    <w:rsid w:val="008D1987"/>
    <w:rsid w:val="008D2D12"/>
    <w:rsid w:val="008F0A8E"/>
    <w:rsid w:val="008F1C0A"/>
    <w:rsid w:val="008F2C81"/>
    <w:rsid w:val="008F6C8F"/>
    <w:rsid w:val="008F7C37"/>
    <w:rsid w:val="009005E8"/>
    <w:rsid w:val="00901299"/>
    <w:rsid w:val="00914F19"/>
    <w:rsid w:val="009203DF"/>
    <w:rsid w:val="009215C3"/>
    <w:rsid w:val="009224C7"/>
    <w:rsid w:val="00930AA8"/>
    <w:rsid w:val="0093751B"/>
    <w:rsid w:val="0094300D"/>
    <w:rsid w:val="00946584"/>
    <w:rsid w:val="00951A53"/>
    <w:rsid w:val="00953DEA"/>
    <w:rsid w:val="00960B24"/>
    <w:rsid w:val="00963FB6"/>
    <w:rsid w:val="00967ACE"/>
    <w:rsid w:val="00981F84"/>
    <w:rsid w:val="00984A93"/>
    <w:rsid w:val="00990161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6726"/>
    <w:rsid w:val="00A02752"/>
    <w:rsid w:val="00A02AF4"/>
    <w:rsid w:val="00A06CAA"/>
    <w:rsid w:val="00A071A5"/>
    <w:rsid w:val="00A13F05"/>
    <w:rsid w:val="00A2654F"/>
    <w:rsid w:val="00A27DC0"/>
    <w:rsid w:val="00A431AB"/>
    <w:rsid w:val="00A53315"/>
    <w:rsid w:val="00A6012A"/>
    <w:rsid w:val="00A66B30"/>
    <w:rsid w:val="00A7009C"/>
    <w:rsid w:val="00A71E1F"/>
    <w:rsid w:val="00A847E4"/>
    <w:rsid w:val="00A90A20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63F3"/>
    <w:rsid w:val="00AE2468"/>
    <w:rsid w:val="00AE2EF4"/>
    <w:rsid w:val="00AE7523"/>
    <w:rsid w:val="00AF16E2"/>
    <w:rsid w:val="00AF1BB4"/>
    <w:rsid w:val="00AF3958"/>
    <w:rsid w:val="00B01E0D"/>
    <w:rsid w:val="00B20917"/>
    <w:rsid w:val="00B2181F"/>
    <w:rsid w:val="00B21A8C"/>
    <w:rsid w:val="00B21DED"/>
    <w:rsid w:val="00B23453"/>
    <w:rsid w:val="00B26A95"/>
    <w:rsid w:val="00B37E23"/>
    <w:rsid w:val="00B46565"/>
    <w:rsid w:val="00B46F03"/>
    <w:rsid w:val="00B52366"/>
    <w:rsid w:val="00B54E3B"/>
    <w:rsid w:val="00B6121B"/>
    <w:rsid w:val="00B62874"/>
    <w:rsid w:val="00B63436"/>
    <w:rsid w:val="00B67199"/>
    <w:rsid w:val="00B671A9"/>
    <w:rsid w:val="00B701DD"/>
    <w:rsid w:val="00B73748"/>
    <w:rsid w:val="00B76553"/>
    <w:rsid w:val="00B801D2"/>
    <w:rsid w:val="00B80F1B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E1CAE"/>
    <w:rsid w:val="00BE7415"/>
    <w:rsid w:val="00BF0F41"/>
    <w:rsid w:val="00BF4F83"/>
    <w:rsid w:val="00C05BE2"/>
    <w:rsid w:val="00C146EF"/>
    <w:rsid w:val="00C24D4A"/>
    <w:rsid w:val="00C33C32"/>
    <w:rsid w:val="00C35AD9"/>
    <w:rsid w:val="00C40C29"/>
    <w:rsid w:val="00C41781"/>
    <w:rsid w:val="00C4355A"/>
    <w:rsid w:val="00C44831"/>
    <w:rsid w:val="00C5754E"/>
    <w:rsid w:val="00C70353"/>
    <w:rsid w:val="00C70A06"/>
    <w:rsid w:val="00C725CB"/>
    <w:rsid w:val="00C76AFF"/>
    <w:rsid w:val="00C95E2D"/>
    <w:rsid w:val="00C97206"/>
    <w:rsid w:val="00CA0AC9"/>
    <w:rsid w:val="00CA53E2"/>
    <w:rsid w:val="00CA67D8"/>
    <w:rsid w:val="00CA7A38"/>
    <w:rsid w:val="00CB0954"/>
    <w:rsid w:val="00CB6AA3"/>
    <w:rsid w:val="00CB7612"/>
    <w:rsid w:val="00CC2511"/>
    <w:rsid w:val="00CC4953"/>
    <w:rsid w:val="00CD20BB"/>
    <w:rsid w:val="00CD6424"/>
    <w:rsid w:val="00CE0379"/>
    <w:rsid w:val="00CF1422"/>
    <w:rsid w:val="00CF2E62"/>
    <w:rsid w:val="00D026E1"/>
    <w:rsid w:val="00D04D7F"/>
    <w:rsid w:val="00D05EBF"/>
    <w:rsid w:val="00D06DA6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7800"/>
    <w:rsid w:val="00D72E3B"/>
    <w:rsid w:val="00D773FE"/>
    <w:rsid w:val="00D84447"/>
    <w:rsid w:val="00D93388"/>
    <w:rsid w:val="00DA1D29"/>
    <w:rsid w:val="00DA29EC"/>
    <w:rsid w:val="00DB14C4"/>
    <w:rsid w:val="00DB46DA"/>
    <w:rsid w:val="00DB4BC5"/>
    <w:rsid w:val="00DC06DC"/>
    <w:rsid w:val="00DC7CEF"/>
    <w:rsid w:val="00DE1394"/>
    <w:rsid w:val="00DE1494"/>
    <w:rsid w:val="00DE21C3"/>
    <w:rsid w:val="00DE5432"/>
    <w:rsid w:val="00DE62A0"/>
    <w:rsid w:val="00DF1141"/>
    <w:rsid w:val="00DF32D7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80693"/>
    <w:rsid w:val="00E86B81"/>
    <w:rsid w:val="00E91C80"/>
    <w:rsid w:val="00E94350"/>
    <w:rsid w:val="00E95F7B"/>
    <w:rsid w:val="00EA0754"/>
    <w:rsid w:val="00EA0DF1"/>
    <w:rsid w:val="00EA2887"/>
    <w:rsid w:val="00EB1CBD"/>
    <w:rsid w:val="00EB481B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451B3"/>
    <w:rsid w:val="00F45E23"/>
    <w:rsid w:val="00F50F14"/>
    <w:rsid w:val="00F53765"/>
    <w:rsid w:val="00F552D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3A60"/>
    <w:rsid w:val="00F93A81"/>
    <w:rsid w:val="00F94A59"/>
    <w:rsid w:val="00FA4CFD"/>
    <w:rsid w:val="00FA4E99"/>
    <w:rsid w:val="00FA5D95"/>
    <w:rsid w:val="00FB3087"/>
    <w:rsid w:val="00FB5F64"/>
    <w:rsid w:val="00FC14AF"/>
    <w:rsid w:val="00FC35CA"/>
    <w:rsid w:val="00FC76EB"/>
    <w:rsid w:val="00FD2D55"/>
    <w:rsid w:val="00FD4CF3"/>
    <w:rsid w:val="00FD61D5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D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E3577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E357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FR1">
    <w:name w:val="FR1"/>
    <w:rsid w:val="006E3577"/>
    <w:pPr>
      <w:widowControl w:val="0"/>
      <w:autoSpaceDE w:val="0"/>
      <w:autoSpaceDN w:val="0"/>
      <w:adjustRightInd w:val="0"/>
      <w:spacing w:before="420"/>
      <w:jc w:val="left"/>
    </w:pPr>
    <w:rPr>
      <w:rFonts w:eastAsia="Times New Roman"/>
      <w:lang w:eastAsia="ru-RU"/>
    </w:rPr>
  </w:style>
  <w:style w:type="paragraph" w:customStyle="1" w:styleId="Title">
    <w:name w:val="Title!Название НПА"/>
    <w:basedOn w:val="a"/>
    <w:rsid w:val="006E357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Орган_ПР"/>
    <w:basedOn w:val="a"/>
    <w:link w:val="12"/>
    <w:qFormat/>
    <w:rsid w:val="00A66B30"/>
    <w:pPr>
      <w:snapToGrid w:val="0"/>
      <w:jc w:val="center"/>
    </w:pPr>
    <w:rPr>
      <w:rFonts w:ascii="Arial" w:eastAsia="Times New Roman" w:hAnsi="Arial" w:cs="Arial"/>
      <w:b/>
      <w:caps/>
      <w:lang w:eastAsia="ar-SA"/>
    </w:rPr>
  </w:style>
  <w:style w:type="character" w:customStyle="1" w:styleId="12">
    <w:name w:val="1Орган_ПР Знак"/>
    <w:basedOn w:val="a0"/>
    <w:link w:val="11"/>
    <w:rsid w:val="00A66B30"/>
    <w:rPr>
      <w:rFonts w:ascii="Arial" w:eastAsia="Times New Roman" w:hAnsi="Arial" w:cs="Arial"/>
      <w:b/>
      <w:caps/>
      <w:lang w:eastAsia="ar-SA"/>
    </w:rPr>
  </w:style>
  <w:style w:type="paragraph" w:customStyle="1" w:styleId="2">
    <w:name w:val="2Название"/>
    <w:basedOn w:val="a"/>
    <w:link w:val="20"/>
    <w:qFormat/>
    <w:rsid w:val="00A66B30"/>
    <w:pPr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20">
    <w:name w:val="2Название Знак"/>
    <w:basedOn w:val="a0"/>
    <w:link w:val="2"/>
    <w:rsid w:val="00A66B30"/>
    <w:rPr>
      <w:rFonts w:ascii="Arial" w:eastAsia="Times New Roman" w:hAnsi="Arial" w:cs="Arial"/>
      <w:b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6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E3577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57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FR1">
    <w:name w:val="FR1"/>
    <w:rsid w:val="006E3577"/>
    <w:pPr>
      <w:widowControl w:val="0"/>
      <w:autoSpaceDE w:val="0"/>
      <w:autoSpaceDN w:val="0"/>
      <w:adjustRightInd w:val="0"/>
      <w:spacing w:before="420"/>
      <w:jc w:val="left"/>
    </w:pPr>
    <w:rPr>
      <w:rFonts w:eastAsia="Times New Roman"/>
      <w:lang w:eastAsia="ru-RU"/>
    </w:rPr>
  </w:style>
  <w:style w:type="paragraph" w:customStyle="1" w:styleId="Title">
    <w:name w:val="Title!Название НПА"/>
    <w:basedOn w:val="a"/>
    <w:rsid w:val="006E357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Орган_ПР"/>
    <w:basedOn w:val="a"/>
    <w:link w:val="12"/>
    <w:qFormat/>
    <w:rsid w:val="00A66B30"/>
    <w:pPr>
      <w:snapToGrid w:val="0"/>
      <w:jc w:val="center"/>
    </w:pPr>
    <w:rPr>
      <w:rFonts w:ascii="Arial" w:eastAsia="Times New Roman" w:hAnsi="Arial" w:cs="Arial"/>
      <w:b/>
      <w:caps/>
      <w:lang w:eastAsia="ar-SA"/>
    </w:rPr>
  </w:style>
  <w:style w:type="character" w:customStyle="1" w:styleId="12">
    <w:name w:val="1Орган_ПР Знак"/>
    <w:basedOn w:val="a0"/>
    <w:link w:val="11"/>
    <w:rsid w:val="00A66B30"/>
    <w:rPr>
      <w:rFonts w:ascii="Arial" w:eastAsia="Times New Roman" w:hAnsi="Arial" w:cs="Arial"/>
      <w:b/>
      <w:caps/>
      <w:lang w:eastAsia="ar-SA"/>
    </w:rPr>
  </w:style>
  <w:style w:type="paragraph" w:customStyle="1" w:styleId="2">
    <w:name w:val="2Название"/>
    <w:basedOn w:val="a"/>
    <w:link w:val="20"/>
    <w:qFormat/>
    <w:rsid w:val="00A66B30"/>
    <w:pPr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20">
    <w:name w:val="2Название Знак"/>
    <w:basedOn w:val="a0"/>
    <w:link w:val="2"/>
    <w:rsid w:val="00A66B30"/>
    <w:rPr>
      <w:rFonts w:ascii="Arial" w:eastAsia="Times New Roman" w:hAnsi="Arial" w:cs="Arial"/>
      <w:b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6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Наталья П. Соловьева</cp:lastModifiedBy>
  <cp:revision>4</cp:revision>
  <cp:lastPrinted>2016-12-22T06:03:00Z</cp:lastPrinted>
  <dcterms:created xsi:type="dcterms:W3CDTF">2016-12-21T12:31:00Z</dcterms:created>
  <dcterms:modified xsi:type="dcterms:W3CDTF">2016-12-26T13:30:00Z</dcterms:modified>
</cp:coreProperties>
</file>