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Arial" w:ascii="Arial" w:hAnsi="Arial"/>
          <w:b/>
          <w:sz w:val="24"/>
          <w:szCs w:val="24"/>
        </w:rPr>
        <w:t>ТИТАРЕВСКОГО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КАНТЕМИРОВСКОГО МУНИЦИПАЛЬНОГО РАЙОНА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ВОРОНЕЖСКОЙ ОБЛАСТИ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 О С Т А Н О В Л Е Н И Е</w:t>
      </w:r>
    </w:p>
    <w:p>
      <w:pPr>
        <w:pStyle w:val="Normal"/>
        <w:spacing w:lineRule="auto" w:line="240" w:before="0" w:after="0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От 02.06.2020 года  № 15</w:t>
      </w:r>
    </w:p>
    <w:p>
      <w:pPr>
        <w:pStyle w:val="Normal"/>
        <w:spacing w:lineRule="auto" w:line="240" w:before="0" w:after="0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с. Титаревка</w:t>
      </w:r>
    </w:p>
    <w:p>
      <w:pPr>
        <w:pStyle w:val="Normal"/>
        <w:spacing w:lineRule="auto" w:line="240" w:before="0" w:after="0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/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Об утверждении перечня адресов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земельных участков, находящихся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/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в кадастровом квартале 36:12:6200010,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/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кадастровом квартале 36:12:6200021,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 xml:space="preserve">кадастровом квартале 36:12:6200023, 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кадастровом квартале 36:12:6200024.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/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Титаревского сельского поселения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Воронежской области в Федеральную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информационную систему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(ФИАС)</w:t>
      </w:r>
    </w:p>
    <w:p>
      <w:pPr>
        <w:pStyle w:val="Title"/>
        <w:tabs>
          <w:tab w:val="clear" w:pos="708"/>
          <w:tab w:val="center" w:pos="4680" w:leader="none"/>
        </w:tabs>
        <w:spacing w:before="0" w:after="0"/>
        <w:ind w:hanging="0"/>
        <w:jc w:val="left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</w:r>
    </w:p>
    <w:p>
      <w:pPr>
        <w:pStyle w:val="Title"/>
        <w:spacing w:before="0" w:after="0"/>
        <w:ind w:firstLine="709"/>
        <w:jc w:val="both"/>
        <w:rPr/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  <w:t>В соответствии с Федеральным законом от 28.12.2013г. №443-ФЗ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1221 «Об утверждении правил присвоения, изменения и аннулирования адресов»,руководствуясь Уставом, в связи с проведением инвентаризации объектов адресации Федеральной информационной адресной системе на территории Титаревского сельского поселения, администрация Титаревского  сельского поселения Кантемировского муниципального района Воронежской области</w:t>
      </w:r>
    </w:p>
    <w:p>
      <w:pPr>
        <w:pStyle w:val="Title"/>
        <w:spacing w:before="0" w:after="0"/>
        <w:ind w:firstLine="709"/>
        <w:jc w:val="both"/>
        <w:rPr>
          <w:rFonts w:eastAsia="SimSun;宋体"/>
          <w:b w:val="false"/>
          <w:b w:val="false"/>
          <w:kern w:val="2"/>
          <w:sz w:val="24"/>
          <w:szCs w:val="24"/>
          <w:lang w:eastAsia="hi-IN" w:bidi="hi-IN"/>
        </w:rPr>
      </w:pPr>
      <w:r>
        <w:rPr>
          <w:rFonts w:eastAsia="SimSun;宋体"/>
          <w:b w:val="false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1. Утвердить адреса земельных участков, находящихся в кадастровом квартале 36:12:6200010,кадастровом квартале 36:12:6200021, кадастровом квартале 36:12:6200023, кадастровом квартале 36:12:6200024,  Титаревского  сельского поселения Кантемировского муниципального района Воронежской области, по результатам проведенной инвентаризации, отсутствующих в федеральной информационной системе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Утвердить адреса земельных участков, находящихся в кадастровом квартале 36:12:0000000, кадастровом квартале 36:12:6200008, кадастровом квартале 36:12:6200009, кадастровом квартале 36:12:6200012, Титаревского сельского поселения Кантемировского муниципального района Воронежской области, ранее внесенных в ФИАС, согласно приложения.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Подтверждаем, что ниже существующие адреса были присвоены ранее до вступления в силу Постановления Правительства РФ от 19.11.2014 №1221 «Об утверждении правил присвоения, изменения и аннулирования адресов.»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tabs>
          <w:tab w:val="clear" w:pos="708"/>
          <w:tab w:val="left" w:pos="3075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701" w:right="567" w:header="0" w:top="1701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3075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Титаревского сельского поселения                                    Г.В. Радченко</w:t>
      </w:r>
    </w:p>
    <w:p>
      <w:pPr>
        <w:pStyle w:val="Normal"/>
        <w:spacing w:lineRule="auto" w:line="240" w:before="0" w:after="0"/>
        <w:ind w:right="-739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ind w:right="-739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к постановлению №15 от 02 .06.2020г.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532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92"/>
        <w:gridCol w:w="1842"/>
        <w:gridCol w:w="1980"/>
        <w:gridCol w:w="2296"/>
        <w:gridCol w:w="2055"/>
        <w:gridCol w:w="2071"/>
        <w:gridCol w:w="1531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страны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субъекта Российской Федерации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элементов планировочной структуры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участка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36:12:0000000:692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692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36:12:0000000:720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720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36:12:6200008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36:12:6200008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36:12:6200008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36:12:6200008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36:12:6200008:58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Кантемировский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36:12:6200009:15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36:12:6200009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36:12:6200009:37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36:12:6200009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36:12:6200010:16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36:12:6200010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36:12:6200012:18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Кантемировский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сельское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36:12:6200012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36:12:6200021:85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36:12:6200021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36:12:6200021:104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36:12:6200021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104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36:12:6200023:14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36:12:6200023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36:12:6200024:10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36:12:6200024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36:12:6200024:16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Титаревское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квартал 36:12:6200024 территория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</w:tr>
    </w:tbl>
    <w:p>
      <w:pPr>
        <w:sectPr>
          <w:type w:val="nextPage"/>
          <w:pgSz w:orient="landscape" w:w="16838" w:h="11906"/>
          <w:pgMar w:left="567" w:right="2268" w:header="0" w:top="1418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567" w:header="0" w:top="22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Замещающий текст"/>
    <w:basedOn w:val="Style14"/>
    <w:qFormat/>
    <w:rPr>
      <w:color w:val="808080"/>
    </w:rPr>
  </w:style>
  <w:style w:type="character" w:styleId="Style16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character" w:styleId="Style17">
    <w:name w:val="Основной текст с отступом Знак"/>
    <w:basedOn w:val="Style14"/>
    <w:qFormat/>
    <w:rPr>
      <w:rFonts w:ascii="Times New Roman" w:hAnsi="Times New Roman" w:eastAsia="Times New Roman" w:cs="Times New Roman"/>
      <w:color w:val="000000"/>
      <w:sz w:val="28"/>
      <w:szCs w:val="20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pPr>
      <w:widowControl w:val="false"/>
      <w:spacing w:lineRule="auto" w:line="240" w:before="0" w:after="0"/>
      <w:ind w:firstLine="340"/>
      <w:jc w:val="both"/>
    </w:pPr>
    <w:rPr>
      <w:rFonts w:ascii="Times New Roman" w:hAnsi="Times New Roman" w:eastAsia="Times New Roman" w:cs="Times New Roman"/>
      <w:color w:val="000000"/>
      <w:sz w:val="28"/>
      <w:szCs w:val="20"/>
    </w:rPr>
  </w:style>
  <w:style w:type="paragraph" w:styleId="Title">
    <w:name w:val="Title!Название НПА"/>
    <w:basedOn w:val="Normal"/>
    <w:qFormat/>
    <w:pPr>
      <w:spacing w:lineRule="auto" w:line="240" w:before="240" w:after="60"/>
      <w:ind w:firstLine="567"/>
      <w:jc w:val="center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2020-06-02T10:04:00Z</dcterms:created>
  <dc:creator>Divnich nb</dc:creator>
  <dc:description/>
  <dc:language>en-US</dc:language>
  <cp:lastModifiedBy>User</cp:lastModifiedBy>
  <cp:lastPrinted>2020-02-18T15:55:00Z</cp:lastPrinted>
  <dcterms:modified xsi:type="dcterms:W3CDTF">2020-06-02T10:08:00Z</dcterms:modified>
  <cp:revision>4</cp:revision>
  <dc:subject/>
  <dc:title/>
</cp:coreProperties>
</file>