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C" w:rsidRDefault="00C276CC" w:rsidP="004B4F2A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C276CC" w:rsidRDefault="00C276CC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C276CC" w:rsidRDefault="00C276CC" w:rsidP="00454A30">
      <w:pPr>
        <w:jc w:val="center"/>
        <w:rPr>
          <w:b/>
          <w:bCs/>
          <w:iCs/>
          <w:sz w:val="28"/>
        </w:rPr>
      </w:pPr>
      <w:r w:rsidRPr="009E3A72">
        <w:rPr>
          <w:b/>
          <w:bCs/>
          <w:i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>
            <v:imagedata r:id="rId4" o:title=""/>
          </v:shape>
        </w:pict>
      </w:r>
    </w:p>
    <w:p w:rsidR="00C276CC" w:rsidRDefault="00C276CC" w:rsidP="00454A30">
      <w:pPr>
        <w:jc w:val="center"/>
        <w:rPr>
          <w:b/>
          <w:bCs/>
          <w:iCs/>
          <w:sz w:val="28"/>
        </w:rPr>
      </w:pPr>
    </w:p>
    <w:p w:rsidR="00C276CC" w:rsidRDefault="00C276C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C276CC" w:rsidRDefault="00C276C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C276CC" w:rsidRDefault="00C276C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C276CC" w:rsidRDefault="00C276C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C276CC" w:rsidRDefault="00C276CC" w:rsidP="00454A30">
      <w:pPr>
        <w:jc w:val="center"/>
        <w:rPr>
          <w:b/>
          <w:bCs/>
          <w:iCs/>
          <w:sz w:val="28"/>
        </w:rPr>
      </w:pPr>
    </w:p>
    <w:p w:rsidR="00C276CC" w:rsidRDefault="00C276C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C276CC" w:rsidRDefault="00C276CC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C276CC" w:rsidRDefault="00C276CC" w:rsidP="00454A30">
      <w:pPr>
        <w:pStyle w:val="FR1"/>
        <w:spacing w:before="0"/>
        <w:jc w:val="both"/>
        <w:rPr>
          <w:b/>
          <w:bCs/>
        </w:rPr>
      </w:pPr>
    </w:p>
    <w:p w:rsidR="00C276CC" w:rsidRDefault="00C276CC" w:rsidP="00454A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30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      № 126</w:t>
      </w:r>
    </w:p>
    <w:p w:rsidR="00C276CC" w:rsidRDefault="00C276CC" w:rsidP="00454A3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с. Кучеряевка</w:t>
      </w:r>
    </w:p>
    <w:p w:rsidR="00C276CC" w:rsidRDefault="00C276CC" w:rsidP="00454A30">
      <w:pPr>
        <w:jc w:val="both"/>
        <w:rPr>
          <w:sz w:val="20"/>
          <w:szCs w:val="20"/>
        </w:rPr>
      </w:pPr>
    </w:p>
    <w:p w:rsidR="00C276CC" w:rsidRDefault="00C276C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C276CC" w:rsidRDefault="00C276C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Кучеряевского сельского </w:t>
      </w:r>
    </w:p>
    <w:p w:rsidR="00C276CC" w:rsidRDefault="00C276C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2017 год</w:t>
      </w:r>
    </w:p>
    <w:p w:rsidR="00C276CC" w:rsidRDefault="00C276CC" w:rsidP="00454A30">
      <w:pPr>
        <w:jc w:val="both"/>
      </w:pPr>
    </w:p>
    <w:p w:rsidR="00C276CC" w:rsidRDefault="00C276CC" w:rsidP="0045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Кучеряевского сельского поселения и  Положением о бюджетном процессе в Кучеряевском сельском поселении Бутурлиновского муниципального района Воронежской области, утвержденным  решением Совета народных депутатов Кучеряевского сельского поселения от 25.08.2015 г. № 215, Совет народных депутатов Кучеряевского сельского поселения</w:t>
      </w:r>
    </w:p>
    <w:p w:rsidR="00C276CC" w:rsidRDefault="00C276CC" w:rsidP="00454A30">
      <w:pPr>
        <w:ind w:firstLine="709"/>
        <w:jc w:val="both"/>
        <w:rPr>
          <w:sz w:val="28"/>
          <w:szCs w:val="28"/>
        </w:rPr>
      </w:pPr>
    </w:p>
    <w:p w:rsidR="00C276CC" w:rsidRDefault="00C276CC" w:rsidP="00454A30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32"/>
          <w:szCs w:val="32"/>
        </w:rPr>
        <w:t>р е ш и л:</w:t>
      </w:r>
    </w:p>
    <w:p w:rsidR="00C276CC" w:rsidRDefault="00C276CC" w:rsidP="00454A30">
      <w:pPr>
        <w:ind w:firstLine="709"/>
        <w:jc w:val="both"/>
        <w:rPr>
          <w:sz w:val="32"/>
          <w:szCs w:val="32"/>
        </w:rPr>
      </w:pPr>
    </w:p>
    <w:p w:rsidR="00C276CC" w:rsidRPr="00C8061B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Кучеряевского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201</w:t>
        </w:r>
        <w:r>
          <w:rPr>
            <w:color w:val="000000"/>
            <w:sz w:val="28"/>
            <w:szCs w:val="28"/>
          </w:rPr>
          <w:t>7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5 168,6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5 942,5</w:t>
      </w:r>
      <w:r w:rsidRPr="00C8061B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</w:t>
      </w:r>
      <w:r w:rsidRPr="00C8061B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</w:t>
      </w:r>
      <w:r w:rsidRPr="00C8061B">
        <w:rPr>
          <w:sz w:val="28"/>
          <w:szCs w:val="28"/>
        </w:rPr>
        <w:t>ходами (</w:t>
      </w:r>
      <w:r>
        <w:rPr>
          <w:sz w:val="28"/>
          <w:szCs w:val="28"/>
        </w:rPr>
        <w:t>де</w:t>
      </w:r>
      <w:r w:rsidRPr="00C8061B">
        <w:rPr>
          <w:sz w:val="28"/>
          <w:szCs w:val="28"/>
        </w:rPr>
        <w:t>фицит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 773,9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C276CC" w:rsidRPr="00C8061B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классификации доходов бюджетов согласно </w:t>
      </w:r>
      <w:hyperlink r:id="rId6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C276CC" w:rsidRPr="00C8061B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C276CC" w:rsidRPr="00C8061B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>, целевым статьям (муниципальным программам Кучеряевского сельского поселения Бутурлиновского муниципального района Воронежской области), группам 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C276CC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</w:t>
      </w:r>
      <w:hyperlink r:id="rId8" w:history="1">
        <w:r w:rsidRPr="00471C60">
          <w:rPr>
            <w:color w:val="000000"/>
            <w:sz w:val="28"/>
            <w:szCs w:val="28"/>
          </w:rPr>
          <w:t>приложению</w:t>
        </w:r>
        <w:r w:rsidRPr="00C8061B">
          <w:rPr>
            <w:color w:val="0000FF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C276CC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2017 год согласно приложению 5 к настоящему решению.</w:t>
      </w:r>
    </w:p>
    <w:p w:rsidR="00C276CC" w:rsidRPr="00C8061B" w:rsidRDefault="00C276C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6CC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Кучеряевского сельского поселения.</w:t>
      </w:r>
    </w:p>
    <w:p w:rsidR="00C276CC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6CC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6CC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6CC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Кучеряевского</w:t>
      </w:r>
    </w:p>
    <w:p w:rsidR="00C276CC" w:rsidRPr="00454A30" w:rsidRDefault="00C276C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54A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4A30">
        <w:rPr>
          <w:rFonts w:ascii="Times New Roman" w:hAnsi="Times New Roman" w:cs="Times New Roman"/>
          <w:sz w:val="28"/>
          <w:szCs w:val="28"/>
        </w:rPr>
        <w:t xml:space="preserve"> Л.М.Гуренко                                         </w:t>
      </w: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right"/>
      </w:pPr>
      <w:r>
        <w:t>Приложение 1</w:t>
      </w:r>
    </w:p>
    <w:p w:rsidR="00C276CC" w:rsidRDefault="00C276CC" w:rsidP="00454A30">
      <w:pPr>
        <w:jc w:val="right"/>
      </w:pPr>
      <w:r>
        <w:t xml:space="preserve">к решению Совета народных депутатов 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         от 30.03.2018  года  № 126 </w:t>
      </w:r>
    </w:p>
    <w:p w:rsidR="00C276CC" w:rsidRDefault="00C276CC" w:rsidP="00454A30">
      <w:pPr>
        <w:jc w:val="both"/>
      </w:pPr>
    </w:p>
    <w:p w:rsidR="00C276CC" w:rsidRPr="00252DCC" w:rsidRDefault="00C276CC" w:rsidP="00454A30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КУЧЕРЯЕВСКОГО СЕЛЬСКОГО ПОСЕЛЕНИЯ ЗА 201</w:t>
      </w:r>
      <w:r>
        <w:rPr>
          <w:b/>
        </w:rPr>
        <w:t>7</w:t>
      </w:r>
      <w:r w:rsidRPr="00252DCC">
        <w:rPr>
          <w:b/>
        </w:rPr>
        <w:t xml:space="preserve"> ГОД ПО КОДАМ КЛАССИФИКАЦИИ ДОХОДОВ БЮДЖЕТОВ</w:t>
      </w:r>
    </w:p>
    <w:p w:rsidR="00C276CC" w:rsidRDefault="00C276CC" w:rsidP="00454A30">
      <w:pPr>
        <w:jc w:val="both"/>
      </w:pPr>
    </w:p>
    <w:tbl>
      <w:tblPr>
        <w:tblW w:w="1080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760"/>
        <w:gridCol w:w="1800"/>
      </w:tblGrid>
      <w:tr w:rsidR="00C276CC" w:rsidRPr="00284878" w:rsidTr="000401AA">
        <w:trPr>
          <w:trHeight w:val="546"/>
        </w:trPr>
        <w:tc>
          <w:tcPr>
            <w:tcW w:w="324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76CC" w:rsidRPr="0028487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t xml:space="preserve"> классификации </w:t>
            </w:r>
          </w:p>
        </w:tc>
        <w:tc>
          <w:tcPr>
            <w:tcW w:w="57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76CC" w:rsidRPr="0028487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76CC" w:rsidRPr="00284878" w:rsidRDefault="00C276CC" w:rsidP="004E24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C276CC" w:rsidRDefault="00C276CC" w:rsidP="00454A30">
      <w:pPr>
        <w:jc w:val="both"/>
      </w:pPr>
    </w:p>
    <w:tbl>
      <w:tblPr>
        <w:tblW w:w="0" w:type="auto"/>
        <w:jc w:val="center"/>
        <w:tblInd w:w="-1302" w:type="dxa"/>
        <w:tblCellMar>
          <w:left w:w="30" w:type="dxa"/>
          <w:right w:w="30" w:type="dxa"/>
        </w:tblCellMar>
        <w:tblLook w:val="0000"/>
      </w:tblPr>
      <w:tblGrid>
        <w:gridCol w:w="3130"/>
        <w:gridCol w:w="5940"/>
        <w:gridCol w:w="1800"/>
      </w:tblGrid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B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5168,6</w:t>
            </w:r>
          </w:p>
        </w:tc>
      </w:tr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1375,6</w:t>
            </w:r>
          </w:p>
        </w:tc>
      </w:tr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142,1</w:t>
            </w:r>
          </w:p>
        </w:tc>
      </w:tr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142,1</w:t>
            </w:r>
          </w:p>
        </w:tc>
      </w:tr>
      <w:tr w:rsidR="00C276CC" w:rsidRPr="00284878" w:rsidTr="006962F4">
        <w:trPr>
          <w:trHeight w:val="106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142,1</w:t>
            </w:r>
          </w:p>
        </w:tc>
      </w:tr>
      <w:tr w:rsidR="00C276C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1189,7</w:t>
            </w:r>
          </w:p>
        </w:tc>
      </w:tr>
      <w:tr w:rsidR="00C276C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19,3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C276C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1170,4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543,9</w:t>
            </w:r>
          </w:p>
        </w:tc>
      </w:tr>
      <w:tr w:rsidR="00C276CC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543,9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626,5</w:t>
            </w:r>
          </w:p>
        </w:tc>
      </w:tr>
      <w:tr w:rsidR="00C276CC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626,5</w:t>
            </w:r>
          </w:p>
        </w:tc>
      </w:tr>
      <w:tr w:rsidR="00C276C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1029EA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8,0</w:t>
            </w:r>
          </w:p>
        </w:tc>
      </w:tr>
      <w:tr w:rsidR="00C276CC" w:rsidRPr="00284878" w:rsidTr="006962F4">
        <w:trPr>
          <w:trHeight w:val="33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C276CC" w:rsidRPr="00284878" w:rsidTr="006962F4">
        <w:trPr>
          <w:trHeight w:val="8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C276CC" w:rsidRPr="00284878" w:rsidTr="006962F4">
        <w:trPr>
          <w:trHeight w:val="42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1029EA" w:rsidRDefault="00C276CC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1029EA" w:rsidRDefault="00C276CC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C276CC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C276CC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C276CC" w:rsidRPr="00284878" w:rsidTr="006962F4">
        <w:trPr>
          <w:trHeight w:val="193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276CC" w:rsidRPr="003311FC" w:rsidRDefault="00C276CC" w:rsidP="004E2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25,8</w:t>
            </w:r>
          </w:p>
        </w:tc>
      </w:tr>
      <w:tr w:rsidR="00C276CC" w:rsidRPr="00284878" w:rsidTr="006962F4">
        <w:trPr>
          <w:trHeight w:val="52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16B17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17</w:t>
            </w: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C36481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C36481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36481">
              <w:rPr>
                <w:b/>
                <w:i/>
                <w:color w:val="000000"/>
                <w:sz w:val="26"/>
                <w:szCs w:val="26"/>
              </w:rPr>
              <w:t>10,0</w:t>
            </w:r>
          </w:p>
        </w:tc>
      </w:tr>
      <w:tr w:rsidR="00C276CC" w:rsidRPr="00284878" w:rsidTr="006962F4">
        <w:trPr>
          <w:trHeight w:val="5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05000 00 0000 1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276CC" w:rsidRPr="00284878" w:rsidTr="006962F4">
        <w:trPr>
          <w:trHeight w:val="51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10 0000 1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3311FC" w:rsidRDefault="00C276C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276C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284878"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3792,96</w:t>
            </w:r>
          </w:p>
        </w:tc>
      </w:tr>
      <w:tr w:rsidR="00C276CC" w:rsidRPr="00284878" w:rsidTr="006962F4">
        <w:trPr>
          <w:trHeight w:val="389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276CC" w:rsidRPr="00284878" w:rsidRDefault="00C276CC" w:rsidP="004E2482">
            <w:pPr>
              <w:rPr>
                <w:i/>
                <w:sz w:val="26"/>
                <w:szCs w:val="26"/>
              </w:rPr>
            </w:pPr>
            <w:r w:rsidRPr="00284878"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3792,96</w:t>
            </w:r>
          </w:p>
        </w:tc>
      </w:tr>
      <w:tr w:rsidR="00C276C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284878">
              <w:rPr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1705,46</w:t>
            </w:r>
          </w:p>
        </w:tc>
      </w:tr>
      <w:tr w:rsidR="00C276C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278,21</w:t>
            </w:r>
          </w:p>
        </w:tc>
      </w:tr>
      <w:tr w:rsidR="00C276C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278,21</w:t>
            </w:r>
          </w:p>
        </w:tc>
      </w:tr>
      <w:tr w:rsidR="00C276C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1427,25</w:t>
            </w:r>
          </w:p>
        </w:tc>
      </w:tr>
      <w:tr w:rsidR="00C276C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1427,25</w:t>
            </w:r>
          </w:p>
        </w:tc>
      </w:tr>
      <w:tr w:rsidR="00C276C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000 2 02 29999 00 0000 151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1813,9</w:t>
            </w:r>
          </w:p>
        </w:tc>
      </w:tr>
      <w:tr w:rsidR="00C276C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C017D9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17D9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1813,9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</w:p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</w:p>
          <w:p w:rsidR="00C276CC" w:rsidRPr="007D44ED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CD602D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201,5</w:t>
            </w:r>
          </w:p>
        </w:tc>
      </w:tr>
      <w:tr w:rsidR="00C276C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Pr="00284878" w:rsidRDefault="00C276C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6CC" w:rsidRDefault="00C276C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201,5</w:t>
            </w:r>
          </w:p>
        </w:tc>
      </w:tr>
    </w:tbl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</w:p>
    <w:p w:rsidR="00C276CC" w:rsidRDefault="00C276CC" w:rsidP="00454A30">
      <w:pPr>
        <w:jc w:val="right"/>
      </w:pPr>
      <w:r>
        <w:t>Приложение 2</w:t>
      </w:r>
    </w:p>
    <w:p w:rsidR="00C276CC" w:rsidRDefault="00C276CC" w:rsidP="00454A30">
      <w:pPr>
        <w:jc w:val="right"/>
      </w:pPr>
      <w:r>
        <w:t xml:space="preserve">к решению Совета народных депутатов 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         от 30.03..2018 года  № 126</w:t>
      </w:r>
    </w:p>
    <w:p w:rsidR="00C276CC" w:rsidRDefault="00C276CC" w:rsidP="00454A30">
      <w:pPr>
        <w:jc w:val="center"/>
      </w:pPr>
    </w:p>
    <w:p w:rsidR="00C276CC" w:rsidRPr="00EB1F14" w:rsidRDefault="00C276CC" w:rsidP="00454A3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</w:t>
      </w:r>
      <w:r w:rsidRPr="00EB1F14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А</w:t>
      </w:r>
    </w:p>
    <w:p w:rsidR="00C276CC" w:rsidRDefault="00C276CC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КУЧЕРЯЕВСКОГО СЕЛЬСКОГО ПОСЕЛЕНИЯ</w:t>
      </w:r>
    </w:p>
    <w:p w:rsidR="00C276CC" w:rsidRDefault="00C276CC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>ЗА 201</w:t>
      </w:r>
      <w:r>
        <w:rPr>
          <w:sz w:val="22"/>
          <w:szCs w:val="22"/>
        </w:rPr>
        <w:t>7 ГОД</w:t>
      </w:r>
    </w:p>
    <w:p w:rsidR="00C276CC" w:rsidRDefault="00C276CC" w:rsidP="00454A30">
      <w:pPr>
        <w:pStyle w:val="ConsPlusTitle"/>
        <w:jc w:val="both"/>
        <w:rPr>
          <w:sz w:val="22"/>
          <w:szCs w:val="22"/>
        </w:rPr>
      </w:pPr>
    </w:p>
    <w:p w:rsidR="00C276CC" w:rsidRPr="00EB1F14" w:rsidRDefault="00C276CC" w:rsidP="00454A30">
      <w:pPr>
        <w:pStyle w:val="ConsPlusTitle"/>
        <w:jc w:val="both"/>
        <w:rPr>
          <w:sz w:val="22"/>
          <w:szCs w:val="22"/>
        </w:rPr>
      </w:pPr>
    </w:p>
    <w:tbl>
      <w:tblPr>
        <w:tblW w:w="11160" w:type="dxa"/>
        <w:tblInd w:w="-432" w:type="dxa"/>
        <w:tblLayout w:type="fixed"/>
        <w:tblLook w:val="0000"/>
      </w:tblPr>
      <w:tblGrid>
        <w:gridCol w:w="5402"/>
        <w:gridCol w:w="720"/>
        <w:gridCol w:w="540"/>
        <w:gridCol w:w="540"/>
        <w:gridCol w:w="1799"/>
        <w:gridCol w:w="720"/>
        <w:gridCol w:w="1439"/>
      </w:tblGrid>
      <w:tr w:rsidR="00C276CC" w:rsidRPr="00D27416" w:rsidTr="004B4F2A">
        <w:trPr>
          <w:trHeight w:val="93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D27416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C276CC" w:rsidRPr="00D27416" w:rsidTr="004B4F2A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</w:t>
            </w:r>
          </w:p>
        </w:tc>
      </w:tr>
      <w:tr w:rsidR="00C276CC" w:rsidRPr="00D27416" w:rsidTr="004B4F2A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0602BB">
            <w:pPr>
              <w:rPr>
                <w:b/>
                <w:bCs/>
                <w:sz w:val="26"/>
                <w:szCs w:val="26"/>
              </w:rPr>
            </w:pPr>
          </w:p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C276CC" w:rsidRPr="00D27416" w:rsidTr="004B4F2A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C276CC" w:rsidRPr="00D27416" w:rsidTr="004B4F2A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1960,2</w:t>
            </w:r>
          </w:p>
        </w:tc>
      </w:tr>
      <w:tr w:rsidR="00C276CC" w:rsidRPr="00D27416" w:rsidTr="004B4F2A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623,4</w:t>
            </w:r>
          </w:p>
        </w:tc>
      </w:tr>
      <w:tr w:rsidR="00C276CC" w:rsidRPr="00D27416" w:rsidTr="004B4F2A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C276CC" w:rsidRPr="00D27416" w:rsidTr="004B4F2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C276CC" w:rsidRPr="00D27416" w:rsidTr="004B4F2A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C276CC" w:rsidRPr="00D27416" w:rsidTr="004B4F2A">
        <w:trPr>
          <w:trHeight w:val="21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C276CC" w:rsidRPr="00D27416" w:rsidTr="004B4F2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1266,8</w:t>
            </w:r>
          </w:p>
        </w:tc>
      </w:tr>
      <w:tr w:rsidR="00C276CC" w:rsidRPr="00D27416" w:rsidTr="004B4F2A">
        <w:trPr>
          <w:trHeight w:val="21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D27416" w:rsidTr="004B4F2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D27416" w:rsidTr="004B4F2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D27416" w:rsidTr="004B4F2A">
        <w:trPr>
          <w:trHeight w:val="21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C276CC" w:rsidRPr="00D27416" w:rsidTr="004B4F2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C276CC" w:rsidRPr="00D27416" w:rsidTr="004B4F2A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C276CC" w:rsidRPr="00D27416" w:rsidTr="004B4F2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C276CC" w:rsidRPr="00D27416" w:rsidTr="004B4F2A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C276CC" w:rsidRPr="00D27416" w:rsidTr="004B4F2A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C276CC" w:rsidRPr="00D27416" w:rsidTr="004B4F2A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C276CC" w:rsidRPr="00D27416" w:rsidTr="004B4F2A">
        <w:trPr>
          <w:trHeight w:val="204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85 1 02 90110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C276CC" w:rsidRPr="00D27416" w:rsidTr="004B4F2A">
        <w:trPr>
          <w:trHeight w:val="6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68,3</w:t>
            </w:r>
          </w:p>
        </w:tc>
      </w:tr>
      <w:tr w:rsidR="00C276CC" w:rsidRPr="00D27416" w:rsidTr="004B4F2A">
        <w:trPr>
          <w:trHeight w:val="48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68,3</w:t>
            </w:r>
          </w:p>
        </w:tc>
      </w:tr>
      <w:tr w:rsidR="00C276CC" w:rsidRPr="00D27416" w:rsidTr="004B4F2A">
        <w:trPr>
          <w:trHeight w:val="17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C276CC" w:rsidRPr="00D27416" w:rsidTr="004B4F2A">
        <w:trPr>
          <w:trHeight w:val="99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C276CC" w:rsidRPr="00D27416" w:rsidTr="004B4F2A">
        <w:trPr>
          <w:trHeight w:val="1080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C276CC" w:rsidRPr="00D27416" w:rsidTr="004B4F2A">
        <w:trPr>
          <w:trHeight w:val="882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62,080</w:t>
            </w:r>
          </w:p>
        </w:tc>
      </w:tr>
      <w:tr w:rsidR="00C276CC" w:rsidRPr="00D27416" w:rsidTr="004B4F2A">
        <w:trPr>
          <w:trHeight w:val="1530"/>
        </w:trPr>
        <w:tc>
          <w:tcPr>
            <w:tcW w:w="5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6,220</w:t>
            </w:r>
          </w:p>
        </w:tc>
      </w:tr>
      <w:tr w:rsidR="00C276CC" w:rsidRPr="00D27416" w:rsidTr="004B4F2A">
        <w:trPr>
          <w:trHeight w:val="75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138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10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3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1275"/>
        </w:trPr>
        <w:tc>
          <w:tcPr>
            <w:tcW w:w="5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84 1 01 91430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D27416" w:rsidTr="004B4F2A">
        <w:trPr>
          <w:trHeight w:val="6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2326,8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037BDB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339,0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037BDB" w:rsidRDefault="00C276C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037BDB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C276CC" w:rsidRPr="00D27416" w:rsidTr="004B4F2A">
        <w:trPr>
          <w:trHeight w:val="5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1987,8</w:t>
            </w:r>
          </w:p>
        </w:tc>
      </w:tr>
      <w:tr w:rsidR="00C276CC" w:rsidRPr="00D27416" w:rsidTr="004B4F2A">
        <w:trPr>
          <w:trHeight w:val="88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C276CC" w:rsidRPr="00D27416" w:rsidTr="004B4F2A">
        <w:trPr>
          <w:trHeight w:val="7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C276CC" w:rsidRPr="00D27416" w:rsidTr="004B4F2A">
        <w:trPr>
          <w:trHeight w:val="7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C276CC" w:rsidRPr="00D27416" w:rsidTr="004B4F2A">
        <w:trPr>
          <w:trHeight w:val="7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84 5 01 78520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1788,9</w:t>
            </w:r>
          </w:p>
        </w:tc>
      </w:tr>
      <w:tr w:rsidR="00C276CC" w:rsidRPr="00D27416" w:rsidTr="004B4F2A">
        <w:trPr>
          <w:trHeight w:val="7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C276CC" w:rsidRPr="00D27416" w:rsidTr="004B4F2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750,6</w:t>
            </w:r>
          </w:p>
        </w:tc>
      </w:tr>
      <w:tr w:rsidR="00C276CC" w:rsidRPr="00D27416" w:rsidTr="004B4F2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750,6</w:t>
            </w:r>
          </w:p>
        </w:tc>
      </w:tr>
      <w:tr w:rsidR="00C276CC" w:rsidRPr="00D27416" w:rsidTr="004B4F2A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C276CC" w:rsidRPr="00D27416" w:rsidTr="004B4F2A">
        <w:trPr>
          <w:trHeight w:val="8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C276CC" w:rsidRPr="00D27416" w:rsidTr="004B4F2A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C276CC" w:rsidRPr="00D27416" w:rsidTr="004B4F2A">
        <w:trPr>
          <w:trHeight w:val="1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C276CC" w:rsidRPr="00D27416" w:rsidTr="004B4F2A">
        <w:trPr>
          <w:trHeight w:val="1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C276CC" w:rsidRPr="00D27416" w:rsidTr="004B4F2A">
        <w:trPr>
          <w:trHeight w:val="127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84 2 01 98670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276CC" w:rsidRPr="00D27416" w:rsidTr="004B4F2A">
        <w:trPr>
          <w:trHeight w:val="915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D27416" w:rsidTr="004B4F2A">
        <w:trPr>
          <w:trHeight w:val="990"/>
        </w:trPr>
        <w:tc>
          <w:tcPr>
            <w:tcW w:w="5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D27416" w:rsidTr="004B4F2A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C276CC" w:rsidRPr="00D27416" w:rsidTr="004B4F2A">
        <w:trPr>
          <w:trHeight w:val="3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769,9</w:t>
            </w:r>
          </w:p>
        </w:tc>
      </w:tr>
      <w:tr w:rsidR="00C276CC" w:rsidRPr="00D27416" w:rsidTr="004B4F2A">
        <w:trPr>
          <w:trHeight w:val="13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769,9</w:t>
            </w:r>
          </w:p>
        </w:tc>
      </w:tr>
      <w:tr w:rsidR="00C276CC" w:rsidRPr="00D27416" w:rsidTr="004B4F2A">
        <w:trPr>
          <w:trHeight w:val="9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741,5</w:t>
            </w:r>
          </w:p>
        </w:tc>
      </w:tr>
      <w:tr w:rsidR="00C276CC" w:rsidRPr="00D27416" w:rsidTr="004B4F2A">
        <w:trPr>
          <w:trHeight w:val="529"/>
        </w:trPr>
        <w:tc>
          <w:tcPr>
            <w:tcW w:w="5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C276CC" w:rsidRPr="00D27416" w:rsidTr="004B4F2A">
        <w:trPr>
          <w:trHeight w:val="1320"/>
        </w:trPr>
        <w:tc>
          <w:tcPr>
            <w:tcW w:w="5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C276CC" w:rsidRPr="00D27416" w:rsidTr="004B4F2A">
        <w:trPr>
          <w:trHeight w:val="6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1C7871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C276CC" w:rsidRPr="00D27416" w:rsidTr="004B4F2A">
        <w:trPr>
          <w:trHeight w:val="9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1C7871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C276CC" w:rsidRPr="00D27416" w:rsidTr="004B4F2A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62,9</w:t>
            </w:r>
          </w:p>
        </w:tc>
      </w:tr>
      <w:tr w:rsidR="00C276CC" w:rsidRPr="00D27416" w:rsidTr="004B4F2A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57,4</w:t>
            </w:r>
          </w:p>
        </w:tc>
      </w:tr>
      <w:tr w:rsidR="00C276CC" w:rsidRPr="00D27416" w:rsidTr="004B4F2A">
        <w:trPr>
          <w:trHeight w:val="15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D27416" w:rsidTr="004B4F2A">
        <w:trPr>
          <w:trHeight w:val="84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D27416" w:rsidTr="004B4F2A">
        <w:trPr>
          <w:trHeight w:val="84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D27416" w:rsidTr="004B4F2A">
        <w:trPr>
          <w:trHeight w:val="16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D27416" w:rsidTr="004B4F2A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D27416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5,5</w:t>
            </w:r>
          </w:p>
        </w:tc>
      </w:tr>
      <w:tr w:rsidR="00C276CC" w:rsidRPr="00D27416" w:rsidTr="004B4F2A">
        <w:trPr>
          <w:trHeight w:val="106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D27416" w:rsidTr="004B4F2A">
        <w:trPr>
          <w:trHeight w:val="6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Подпрограмма" 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D27416" w:rsidTr="004B4F2A">
        <w:trPr>
          <w:trHeight w:val="6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D27416" w:rsidRDefault="00C276C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D27416" w:rsidTr="004B4F2A">
        <w:trPr>
          <w:trHeight w:val="9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84 3 02 90490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D27416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</w:tbl>
    <w:p w:rsidR="00C276CC" w:rsidRDefault="00C276CC" w:rsidP="00454A30">
      <w:pPr>
        <w:jc w:val="both"/>
        <w:sectPr w:rsidR="00C276CC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right"/>
      </w:pPr>
      <w:r>
        <w:t>Приложение 3</w:t>
      </w:r>
    </w:p>
    <w:p w:rsidR="00C276CC" w:rsidRDefault="00C276CC" w:rsidP="00454A30">
      <w:pPr>
        <w:jc w:val="right"/>
      </w:pPr>
      <w:r>
        <w:t xml:space="preserve">к решению Совета народных депутатов 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         от 30.03..2018 г.  № 126 </w:t>
      </w:r>
    </w:p>
    <w:p w:rsidR="00C276CC" w:rsidRDefault="00C276CC" w:rsidP="00454A30">
      <w:pPr>
        <w:jc w:val="both"/>
      </w:pPr>
    </w:p>
    <w:p w:rsidR="00C276CC" w:rsidRPr="00B83C4A" w:rsidRDefault="00C276CC" w:rsidP="00454A30">
      <w:pPr>
        <w:jc w:val="center"/>
        <w:rPr>
          <w:sz w:val="26"/>
          <w:szCs w:val="26"/>
        </w:rPr>
      </w:pPr>
      <w:r w:rsidRPr="00B83C4A">
        <w:rPr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Кучеряевского сельского поселения Бутурлиновского муниципального района Воронежской области), группам видов расходов классификации расходов бюджета Кучеряевского сельского поселения за 201</w:t>
      </w:r>
      <w:r>
        <w:rPr>
          <w:sz w:val="26"/>
          <w:szCs w:val="26"/>
        </w:rPr>
        <w:t>7</w:t>
      </w:r>
      <w:r w:rsidRPr="00B83C4A">
        <w:rPr>
          <w:sz w:val="26"/>
          <w:szCs w:val="26"/>
        </w:rPr>
        <w:t xml:space="preserve"> год</w:t>
      </w:r>
    </w:p>
    <w:p w:rsidR="00C276CC" w:rsidRDefault="00C276CC" w:rsidP="00454A30">
      <w:pPr>
        <w:jc w:val="both"/>
        <w:rPr>
          <w:b/>
          <w:bCs/>
        </w:rPr>
      </w:pPr>
    </w:p>
    <w:tbl>
      <w:tblPr>
        <w:tblW w:w="11160" w:type="dxa"/>
        <w:tblInd w:w="-252" w:type="dxa"/>
        <w:tblLayout w:type="fixed"/>
        <w:tblLook w:val="0000"/>
      </w:tblPr>
      <w:tblGrid>
        <w:gridCol w:w="5400"/>
        <w:gridCol w:w="540"/>
        <w:gridCol w:w="720"/>
        <w:gridCol w:w="1800"/>
        <w:gridCol w:w="720"/>
        <w:gridCol w:w="1980"/>
      </w:tblGrid>
      <w:tr w:rsidR="00C276CC" w:rsidRPr="0067777D" w:rsidTr="004B4F2A">
        <w:trPr>
          <w:trHeight w:val="9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67777D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C276CC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</w:t>
            </w:r>
          </w:p>
        </w:tc>
      </w:tr>
      <w:tr w:rsidR="00C276CC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C276CC" w:rsidRPr="0067777D" w:rsidTr="004B4F2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C7871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1960,2</w:t>
            </w:r>
          </w:p>
        </w:tc>
      </w:tr>
      <w:tr w:rsidR="00C276CC" w:rsidRPr="0067777D" w:rsidTr="004B4F2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C276CC" w:rsidRPr="0067777D" w:rsidTr="004B4F2A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C276CC" w:rsidRPr="0067777D" w:rsidTr="004B4F2A">
        <w:trPr>
          <w:trHeight w:val="7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C276CC" w:rsidRPr="0067777D" w:rsidTr="004B4F2A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C276CC" w:rsidRPr="0067777D" w:rsidTr="004B4F2A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C276CC" w:rsidRPr="0067777D" w:rsidTr="004B4F2A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1266,8</w:t>
            </w:r>
          </w:p>
        </w:tc>
      </w:tr>
      <w:tr w:rsidR="00C276CC" w:rsidRPr="0067777D" w:rsidTr="004B4F2A">
        <w:trPr>
          <w:trHeight w:val="214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67777D" w:rsidTr="004B4F2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67777D" w:rsidTr="004B4F2A">
        <w:trPr>
          <w:trHeight w:val="14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C276CC" w:rsidRPr="0067777D" w:rsidTr="004B4F2A">
        <w:trPr>
          <w:trHeight w:val="21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C276CC" w:rsidRPr="0067777D" w:rsidTr="004B4F2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C276CC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C276CC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7777D">
              <w:rPr>
                <w:i/>
                <w:i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C276CC" w:rsidRPr="0067777D" w:rsidTr="004B4F2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C276CC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C276CC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C276CC" w:rsidRPr="0067777D" w:rsidTr="004B4F2A">
        <w:trPr>
          <w:trHeight w:val="21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85 1 02 90110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C276CC" w:rsidRPr="0067777D" w:rsidTr="004B4F2A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7777D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68,3</w:t>
            </w:r>
          </w:p>
        </w:tc>
      </w:tr>
      <w:tr w:rsidR="00C276CC" w:rsidRPr="0067777D" w:rsidTr="004B4F2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68,3</w:t>
            </w:r>
          </w:p>
        </w:tc>
      </w:tr>
      <w:tr w:rsidR="00C276CC" w:rsidRPr="0067777D" w:rsidTr="004B4F2A">
        <w:trPr>
          <w:trHeight w:val="1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C276CC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C276CC" w:rsidRPr="0067777D" w:rsidTr="004B4F2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C276CC" w:rsidRPr="0067777D" w:rsidTr="004B4F2A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62,080</w:t>
            </w:r>
          </w:p>
        </w:tc>
      </w:tr>
      <w:tr w:rsidR="00C276CC" w:rsidRPr="0067777D" w:rsidTr="004B4F2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6,220</w:t>
            </w:r>
          </w:p>
        </w:tc>
      </w:tr>
      <w:tr w:rsidR="00C276CC" w:rsidRPr="0067777D" w:rsidTr="004B4F2A">
        <w:trPr>
          <w:trHeight w:val="7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13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84 1 01 91430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67777D" w:rsidTr="004B4F2A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2326,8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B16C27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339,0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037BDB" w:rsidRDefault="00C276C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037BDB" w:rsidRDefault="00C276C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B16C27" w:rsidRDefault="00C276C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C276CC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1 9</w:t>
            </w: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Pr="0067777D">
              <w:rPr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</w:tr>
      <w:tr w:rsidR="00C276CC" w:rsidRPr="0067777D" w:rsidTr="004B4F2A">
        <w:trPr>
          <w:trHeight w:val="14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C276CC" w:rsidRPr="0067777D" w:rsidTr="004B4F2A">
        <w:trPr>
          <w:trHeight w:val="9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C276CC" w:rsidRPr="0067777D" w:rsidTr="004B4F2A">
        <w:trPr>
          <w:trHeight w:val="10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C276CC" w:rsidRPr="0067777D" w:rsidTr="004B4F2A">
        <w:trPr>
          <w:trHeight w:val="15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84 5 01 78520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8,9</w:t>
            </w:r>
          </w:p>
        </w:tc>
      </w:tr>
      <w:tr w:rsidR="00C276CC" w:rsidRPr="0067777D" w:rsidTr="004B4F2A">
        <w:trPr>
          <w:trHeight w:val="19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C276CC" w:rsidRPr="0067777D" w:rsidTr="004B4F2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750,6</w:t>
            </w:r>
          </w:p>
        </w:tc>
      </w:tr>
      <w:tr w:rsidR="00C276CC" w:rsidRPr="0067777D" w:rsidTr="004B4F2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750,6</w:t>
            </w:r>
          </w:p>
        </w:tc>
      </w:tr>
      <w:tr w:rsidR="00C276CC" w:rsidRPr="0067777D" w:rsidTr="004B4F2A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C276CC" w:rsidRPr="0067777D" w:rsidTr="004B4F2A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C276CC" w:rsidRPr="0067777D" w:rsidTr="004B4F2A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C276CC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C276CC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C276CC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84 2 01 98670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276CC" w:rsidRPr="0067777D" w:rsidTr="004B4F2A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67777D" w:rsidTr="004B4F2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C276CC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769,9</w:t>
            </w:r>
          </w:p>
        </w:tc>
      </w:tr>
      <w:tr w:rsidR="00C276CC" w:rsidRPr="0067777D" w:rsidTr="004B4F2A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C276CC" w:rsidRPr="0067777D" w:rsidTr="004B4F2A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741,5</w:t>
            </w:r>
          </w:p>
        </w:tc>
      </w:tr>
      <w:tr w:rsidR="00C276CC" w:rsidRPr="0067777D" w:rsidTr="004B4F2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C276CC" w:rsidRPr="0067777D" w:rsidTr="004B4F2A">
        <w:trPr>
          <w:trHeight w:val="349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76CC" w:rsidRPr="00134FDE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C276CC" w:rsidRPr="0067777D" w:rsidTr="004B4F2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C868F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C276CC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CC" w:rsidRPr="00C868F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C276CC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62,9</w:t>
            </w:r>
          </w:p>
        </w:tc>
      </w:tr>
      <w:tr w:rsidR="00C276CC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57,4</w:t>
            </w:r>
          </w:p>
        </w:tc>
      </w:tr>
      <w:tr w:rsidR="00C276CC" w:rsidRPr="0067777D" w:rsidTr="004B4F2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67777D" w:rsidTr="004B4F2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67777D" w:rsidTr="004B4F2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67777D" w:rsidTr="004B4F2A">
        <w:trPr>
          <w:trHeight w:val="1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67777D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5,5</w:t>
            </w:r>
          </w:p>
        </w:tc>
      </w:tr>
      <w:tr w:rsidR="00C276CC" w:rsidRPr="0067777D" w:rsidTr="004B4F2A">
        <w:trPr>
          <w:trHeight w:val="3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67777D" w:rsidTr="004B4F2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Подпрограмма" 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67777D" w:rsidTr="004B4F2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67777D" w:rsidRDefault="00C276C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67777D" w:rsidRDefault="00C276C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84 3 02 90490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6CC" w:rsidRPr="0067777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</w:tbl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8950FC">
      <w:pPr>
        <w:jc w:val="right"/>
      </w:pPr>
      <w:r>
        <w:t>Приложение 4</w:t>
      </w:r>
    </w:p>
    <w:p w:rsidR="00C276CC" w:rsidRDefault="00C276CC" w:rsidP="008950FC">
      <w:pPr>
        <w:jc w:val="right"/>
      </w:pPr>
      <w:r>
        <w:t xml:space="preserve">к решению Совета народных депутатов </w:t>
      </w:r>
    </w:p>
    <w:p w:rsidR="00C276CC" w:rsidRDefault="00C276CC" w:rsidP="008950FC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C276CC" w:rsidRDefault="00C276CC" w:rsidP="008950FC">
      <w:pPr>
        <w:jc w:val="right"/>
      </w:pPr>
      <w:r>
        <w:t xml:space="preserve">                                                                                                       от 30.03..2018 года  № 126  </w:t>
      </w:r>
    </w:p>
    <w:p w:rsidR="00C276CC" w:rsidRDefault="00C276CC" w:rsidP="008950FC">
      <w:pPr>
        <w:jc w:val="both"/>
      </w:pPr>
    </w:p>
    <w:p w:rsidR="00C276CC" w:rsidRPr="001A0F35" w:rsidRDefault="00C276CC" w:rsidP="008950FC">
      <w:pPr>
        <w:jc w:val="center"/>
        <w:rPr>
          <w:b/>
        </w:rPr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>ФИНАНСИРОВАНИЯ ДЕФИЦИТА БЮДЖЕТА КУЧЕРЯЕВСКОГО СЕЛЬСКОГО ПОСЕЛЕНИЯ ЗА 201</w:t>
      </w:r>
      <w:r>
        <w:rPr>
          <w:b/>
        </w:rPr>
        <w:t>7</w:t>
      </w:r>
      <w:r w:rsidRPr="001A0F35">
        <w:rPr>
          <w:b/>
        </w:rPr>
        <w:t xml:space="preserve"> ГОД ПО КОДАМ КЛАССИФИКАЦИИ ИСТОЧНИКОВ ФИНАНСИРОВАНИЯ ДЕФИЦИТОВ БЮДЖЕТОВ</w:t>
      </w:r>
    </w:p>
    <w:p w:rsidR="00C276CC" w:rsidRDefault="00C276CC" w:rsidP="008950FC">
      <w:pPr>
        <w:jc w:val="both"/>
      </w:pPr>
    </w:p>
    <w:p w:rsidR="00C276CC" w:rsidRDefault="00C276CC" w:rsidP="008950FC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2072"/>
        <w:gridCol w:w="3025"/>
        <w:gridCol w:w="1782"/>
      </w:tblGrid>
      <w:tr w:rsidR="00C276CC" w:rsidRPr="00456D65" w:rsidTr="008950FC">
        <w:trPr>
          <w:trHeight w:val="635"/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Наименование</w:t>
            </w:r>
          </w:p>
        </w:tc>
        <w:tc>
          <w:tcPr>
            <w:tcW w:w="4990" w:type="dxa"/>
            <w:gridSpan w:val="2"/>
          </w:tcPr>
          <w:p w:rsidR="00C276CC" w:rsidRPr="00456D65" w:rsidRDefault="00C276C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Код классификации</w:t>
            </w: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Исполнено</w:t>
            </w:r>
          </w:p>
          <w:p w:rsidR="00C276CC" w:rsidRPr="00456D65" w:rsidRDefault="00C276C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Cs/>
              </w:rPr>
              <w:t>(тыс.рублей)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i/>
                <w:iCs/>
              </w:rPr>
            </w:pPr>
          </w:p>
        </w:tc>
        <w:tc>
          <w:tcPr>
            <w:tcW w:w="1895" w:type="dxa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Администратора источника финансирования</w:t>
            </w:r>
          </w:p>
        </w:tc>
        <w:tc>
          <w:tcPr>
            <w:tcW w:w="3095" w:type="dxa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Источника финансирования</w:t>
            </w:r>
          </w:p>
        </w:tc>
        <w:tc>
          <w:tcPr>
            <w:tcW w:w="1795" w:type="dxa"/>
            <w:vMerge w:val="restart"/>
          </w:tcPr>
          <w:p w:rsidR="00C276CC" w:rsidRPr="00456D65" w:rsidRDefault="00C276CC" w:rsidP="00B00D26">
            <w:pPr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4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1</w:t>
            </w:r>
          </w:p>
        </w:tc>
        <w:tc>
          <w:tcPr>
            <w:tcW w:w="1895" w:type="dxa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2</w:t>
            </w:r>
          </w:p>
        </w:tc>
        <w:tc>
          <w:tcPr>
            <w:tcW w:w="3095" w:type="dxa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3</w:t>
            </w:r>
          </w:p>
        </w:tc>
        <w:tc>
          <w:tcPr>
            <w:tcW w:w="1795" w:type="dxa"/>
            <w:vMerge/>
          </w:tcPr>
          <w:p w:rsidR="00C276CC" w:rsidRPr="00456D65" w:rsidRDefault="00C276CC" w:rsidP="00B00D26">
            <w:pPr>
              <w:jc w:val="both"/>
              <w:rPr>
                <w:i/>
                <w:iCs/>
              </w:rPr>
            </w:pP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финансирования дефицита бюджета - всего</w:t>
            </w:r>
          </w:p>
        </w:tc>
        <w:tc>
          <w:tcPr>
            <w:tcW w:w="4990" w:type="dxa"/>
            <w:gridSpan w:val="2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4990" w:type="dxa"/>
            <w:gridSpan w:val="2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4990" w:type="dxa"/>
            <w:gridSpan w:val="2"/>
          </w:tcPr>
          <w:p w:rsidR="00C276CC" w:rsidRPr="00456D65" w:rsidRDefault="00C276C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914</w:t>
            </w: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Увеличение прочих остатков  денежных средств бюджетов</w:t>
            </w:r>
            <w:r>
              <w:rPr>
                <w:iCs/>
              </w:rPr>
              <w:t xml:space="preserve"> сельских</w:t>
            </w:r>
            <w:r w:rsidRPr="00456D65">
              <w:rPr>
                <w:iCs/>
              </w:rPr>
              <w:t xml:space="preserve"> поселений</w:t>
            </w:r>
          </w:p>
        </w:tc>
        <w:tc>
          <w:tcPr>
            <w:tcW w:w="18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0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01 05 02 01 10 0000 510</w:t>
            </w: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-</w:t>
            </w:r>
            <w:r>
              <w:rPr>
                <w:iCs/>
              </w:rPr>
              <w:t>5 168,6</w:t>
            </w:r>
          </w:p>
        </w:tc>
      </w:tr>
      <w:tr w:rsidR="00C276CC" w:rsidRPr="00456D65" w:rsidTr="008950FC">
        <w:trPr>
          <w:jc w:val="center"/>
        </w:trPr>
        <w:tc>
          <w:tcPr>
            <w:tcW w:w="3421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 xml:space="preserve">Уменьшение  прочих остатков  денежных средств бюджетов </w:t>
            </w:r>
            <w:r>
              <w:rPr>
                <w:iCs/>
              </w:rPr>
              <w:t xml:space="preserve">сельских </w:t>
            </w:r>
            <w:r w:rsidRPr="00456D65">
              <w:rPr>
                <w:iCs/>
              </w:rPr>
              <w:t>поселений</w:t>
            </w:r>
          </w:p>
        </w:tc>
        <w:tc>
          <w:tcPr>
            <w:tcW w:w="18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0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01 05 02 01 10 0000 610</w:t>
            </w:r>
          </w:p>
        </w:tc>
        <w:tc>
          <w:tcPr>
            <w:tcW w:w="1795" w:type="dxa"/>
          </w:tcPr>
          <w:p w:rsidR="00C276CC" w:rsidRPr="00456D65" w:rsidRDefault="00C276CC" w:rsidP="00B00D26">
            <w:pPr>
              <w:jc w:val="both"/>
              <w:rPr>
                <w:iCs/>
              </w:rPr>
            </w:pPr>
            <w:r>
              <w:rPr>
                <w:iCs/>
              </w:rPr>
              <w:t>5 942,5</w:t>
            </w:r>
          </w:p>
        </w:tc>
      </w:tr>
    </w:tbl>
    <w:p w:rsidR="00C276CC" w:rsidRDefault="00C276CC" w:rsidP="00454A30">
      <w:pPr>
        <w:jc w:val="both"/>
        <w:sectPr w:rsidR="00C276CC" w:rsidSect="00B83C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right"/>
      </w:pPr>
      <w:r>
        <w:t>Приложение 5</w:t>
      </w:r>
    </w:p>
    <w:p w:rsidR="00C276CC" w:rsidRDefault="00C276CC" w:rsidP="00454A30">
      <w:pPr>
        <w:jc w:val="right"/>
      </w:pPr>
      <w:r>
        <w:t xml:space="preserve">к решению Совета народных депутатов 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C276CC" w:rsidRDefault="00C276CC" w:rsidP="00454A30">
      <w:pPr>
        <w:jc w:val="right"/>
      </w:pPr>
      <w:r>
        <w:t xml:space="preserve">                                                                                                       от 30.03..2018 года  № 126</w:t>
      </w:r>
    </w:p>
    <w:p w:rsidR="00C276CC" w:rsidRDefault="00C276CC" w:rsidP="00454A30">
      <w:pPr>
        <w:jc w:val="both"/>
      </w:pPr>
    </w:p>
    <w:p w:rsidR="00C276CC" w:rsidRPr="00D45058" w:rsidRDefault="00C276CC" w:rsidP="00454A30">
      <w:pPr>
        <w:jc w:val="center"/>
        <w:rPr>
          <w:b/>
          <w:sz w:val="26"/>
          <w:szCs w:val="26"/>
        </w:rPr>
      </w:pPr>
      <w:r w:rsidRPr="00D45058">
        <w:rPr>
          <w:sz w:val="26"/>
          <w:szCs w:val="26"/>
        </w:rPr>
        <w:t>Распределение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2017 год</w:t>
      </w:r>
    </w:p>
    <w:p w:rsidR="00C276CC" w:rsidRPr="00D2582A" w:rsidRDefault="00C276CC" w:rsidP="00454A30">
      <w:pPr>
        <w:jc w:val="both"/>
        <w:rPr>
          <w:b/>
        </w:rPr>
      </w:pPr>
    </w:p>
    <w:tbl>
      <w:tblPr>
        <w:tblW w:w="0" w:type="auto"/>
        <w:jc w:val="center"/>
        <w:tblInd w:w="-1071" w:type="dxa"/>
        <w:tblLook w:val="0000"/>
      </w:tblPr>
      <w:tblGrid>
        <w:gridCol w:w="736"/>
        <w:gridCol w:w="4948"/>
        <w:gridCol w:w="1788"/>
        <w:gridCol w:w="606"/>
        <w:gridCol w:w="480"/>
        <w:gridCol w:w="578"/>
        <w:gridCol w:w="1505"/>
      </w:tblGrid>
      <w:tr w:rsidR="00C276CC" w:rsidRPr="00A647B8" w:rsidTr="00D45058">
        <w:trPr>
          <w:trHeight w:val="9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A647B8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C276CC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</w:t>
            </w:r>
          </w:p>
        </w:tc>
      </w:tr>
      <w:tr w:rsidR="00C276CC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C276CC" w:rsidRPr="00A647B8" w:rsidTr="00D45058">
        <w:trPr>
          <w:trHeight w:val="18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 Муниципальная программа Кучеряевского сельского поселения Бутурлиновского муниципального района Воронежской области «Сохранение и развитие культуры 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C276CC" w:rsidRPr="00A647B8" w:rsidTr="00D45058">
        <w:trPr>
          <w:trHeight w:val="15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741,5</w:t>
            </w:r>
          </w:p>
        </w:tc>
      </w:tr>
      <w:tr w:rsidR="00C276CC" w:rsidRPr="00A647B8" w:rsidTr="00D45058">
        <w:trPr>
          <w:trHeight w:val="25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C276CC" w:rsidRPr="00A647B8" w:rsidTr="00D45058">
        <w:trPr>
          <w:trHeight w:val="14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C276CC" w:rsidRPr="00A647B8" w:rsidTr="00D45058">
        <w:trPr>
          <w:trHeight w:val="88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28,4</w:t>
            </w:r>
          </w:p>
        </w:tc>
      </w:tr>
      <w:tr w:rsidR="00C276CC" w:rsidRPr="00A647B8" w:rsidTr="00D45058">
        <w:trPr>
          <w:trHeight w:val="12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11 0 02 94860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C276CC" w:rsidRPr="00A647B8" w:rsidTr="00D45058">
        <w:trPr>
          <w:trHeight w:val="165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Кучеряевского сельского поселения Бутурлиновского муниципального района Воронежской области «Социальное развитие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3144,1</w:t>
            </w:r>
          </w:p>
        </w:tc>
      </w:tr>
      <w:tr w:rsidR="00C276CC" w:rsidRPr="00A647B8" w:rsidTr="00D45058">
        <w:trPr>
          <w:trHeight w:val="5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«Обеспечение первичных мер пожарной безопасности на территории Кучеряевского сельского поселения»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3,8</w:t>
            </w:r>
          </w:p>
        </w:tc>
      </w:tr>
      <w:tr w:rsidR="00C276CC" w:rsidRPr="00A647B8" w:rsidTr="00D45058">
        <w:trPr>
          <w:trHeight w:val="11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3,8</w:t>
            </w:r>
          </w:p>
        </w:tc>
      </w:tr>
      <w:tr w:rsidR="00C276CC" w:rsidRPr="00A647B8" w:rsidTr="00D45058">
        <w:trPr>
          <w:trHeight w:val="14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84 1 01 91430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276CC" w:rsidRPr="00A647B8" w:rsidTr="00D45058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750,6</w:t>
            </w:r>
          </w:p>
        </w:tc>
      </w:tr>
      <w:tr w:rsidR="00C276CC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91,0</w:t>
            </w:r>
          </w:p>
        </w:tc>
      </w:tr>
      <w:tr w:rsidR="00C276CC" w:rsidRPr="00A647B8" w:rsidTr="00D45058">
        <w:trPr>
          <w:trHeight w:val="11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84 2 01 90010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C276CC" w:rsidRPr="00A647B8" w:rsidTr="00D45058">
        <w:trPr>
          <w:trHeight w:val="114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C276CC" w:rsidRPr="00A647B8" w:rsidTr="00D45058">
        <w:trPr>
          <w:trHeight w:val="148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84 2 01 98670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276CC" w:rsidRPr="00A647B8" w:rsidTr="00D45058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A647B8" w:rsidTr="00D45058">
        <w:trPr>
          <w:trHeight w:val="11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84 2 05 90050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C276CC" w:rsidRPr="00A647B8" w:rsidTr="00D45058">
        <w:trPr>
          <w:trHeight w:val="6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«Социальная политика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62,9</w:t>
            </w:r>
          </w:p>
        </w:tc>
      </w:tr>
      <w:tr w:rsidR="00C276CC" w:rsidRPr="00A647B8" w:rsidTr="00D45058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57,4</w:t>
            </w:r>
          </w:p>
        </w:tc>
      </w:tr>
      <w:tr w:rsidR="00C276CC" w:rsidRPr="00A647B8" w:rsidTr="00D45058">
        <w:trPr>
          <w:trHeight w:val="17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C276CC" w:rsidRPr="00A647B8" w:rsidTr="00D45058">
        <w:trPr>
          <w:trHeight w:val="90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2.3.2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A647B8" w:rsidTr="00D45058">
        <w:trPr>
          <w:trHeight w:val="123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84 3 02 90490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C276CC" w:rsidRPr="00A647B8" w:rsidTr="00D45058">
        <w:trPr>
          <w:trHeight w:val="8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национальной экономики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BE10A7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339,0</w:t>
            </w:r>
          </w:p>
        </w:tc>
      </w:tr>
      <w:tr w:rsidR="00C276CC" w:rsidRPr="00A647B8" w:rsidTr="00D45058">
        <w:trPr>
          <w:trHeight w:val="124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CC" w:rsidRPr="00BE10A7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BE10A7">
              <w:rPr>
                <w:i/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BE10A7" w:rsidRDefault="00C276C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339,0</w:t>
            </w:r>
          </w:p>
        </w:tc>
      </w:tr>
      <w:tr w:rsidR="00C276CC" w:rsidRPr="00A647B8" w:rsidTr="00D45058">
        <w:trPr>
          <w:trHeight w:val="143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037BDB" w:rsidRDefault="00C276C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BE10A7" w:rsidRDefault="00C276C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</w:tr>
      <w:tr w:rsidR="00C276CC" w:rsidRPr="00A647B8" w:rsidTr="00D45058">
        <w:trPr>
          <w:trHeight w:val="87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E60BFB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 w:rsidRPr="00E60BFB">
              <w:rPr>
                <w:b/>
                <w:i/>
                <w:sz w:val="26"/>
                <w:szCs w:val="26"/>
              </w:rPr>
              <w:t>2.5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rPr>
                <w:b/>
                <w:i/>
                <w:color w:val="000000"/>
                <w:sz w:val="26"/>
                <w:szCs w:val="26"/>
              </w:rPr>
            </w:pPr>
            <w:r w:rsidRPr="00E60BFB">
              <w:rPr>
                <w:b/>
                <w:i/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1 9</w:t>
            </w:r>
            <w:r>
              <w:rPr>
                <w:b/>
                <w:i/>
                <w:sz w:val="26"/>
                <w:szCs w:val="26"/>
                <w:lang w:val="en-US"/>
              </w:rPr>
              <w:t>8</w:t>
            </w:r>
            <w:r>
              <w:rPr>
                <w:b/>
                <w:i/>
                <w:sz w:val="26"/>
                <w:szCs w:val="26"/>
              </w:rPr>
              <w:t>7,8</w:t>
            </w:r>
          </w:p>
        </w:tc>
      </w:tr>
      <w:tr w:rsidR="00C276CC" w:rsidRPr="00A647B8" w:rsidTr="00D45058">
        <w:trPr>
          <w:trHeight w:val="8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E60BFB" w:rsidRDefault="00C276CC" w:rsidP="004E2482">
            <w:pPr>
              <w:jc w:val="center"/>
              <w:rPr>
                <w:i/>
                <w:sz w:val="26"/>
                <w:szCs w:val="26"/>
              </w:rPr>
            </w:pPr>
            <w:r w:rsidRPr="00E60BFB">
              <w:rPr>
                <w:i/>
                <w:sz w:val="26"/>
                <w:szCs w:val="26"/>
              </w:rPr>
              <w:t>2.5.1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rPr>
                <w:i/>
                <w:color w:val="000000"/>
                <w:sz w:val="26"/>
                <w:szCs w:val="26"/>
              </w:rPr>
            </w:pPr>
            <w:r w:rsidRPr="00E60BFB">
              <w:rPr>
                <w:i/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E60BFB" w:rsidRDefault="00C276C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C868FD" w:rsidRDefault="00C276C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1 9</w:t>
            </w:r>
            <w:r>
              <w:rPr>
                <w:i/>
                <w:sz w:val="26"/>
                <w:szCs w:val="26"/>
                <w:lang w:val="en-US"/>
              </w:rPr>
              <w:t>8</w:t>
            </w:r>
            <w:r>
              <w:rPr>
                <w:i/>
                <w:sz w:val="26"/>
                <w:szCs w:val="26"/>
              </w:rPr>
              <w:t>7,8</w:t>
            </w:r>
          </w:p>
        </w:tc>
      </w:tr>
      <w:tr w:rsidR="00C276CC" w:rsidRPr="00A647B8" w:rsidTr="00D45058">
        <w:trPr>
          <w:trHeight w:val="52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84 5 01 78520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9C2219" w:rsidRDefault="00C276CC" w:rsidP="004E24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1 7</w:t>
            </w:r>
            <w:r>
              <w:rPr>
                <w:sz w:val="26"/>
                <w:szCs w:val="26"/>
                <w:lang w:val="en-US"/>
              </w:rPr>
              <w:t>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C276CC" w:rsidRPr="00A647B8" w:rsidTr="00D45058">
        <w:trPr>
          <w:trHeight w:val="168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D27416" w:rsidRDefault="00C276C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C276CC" w:rsidRPr="00A647B8" w:rsidTr="00D45058">
        <w:trPr>
          <w:trHeight w:val="151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>Муниципальная программа «Муниципальное управление Кучеряевского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2028,5</w:t>
            </w:r>
          </w:p>
        </w:tc>
      </w:tr>
      <w:tr w:rsidR="00C276CC" w:rsidRPr="00A647B8" w:rsidTr="00D45058">
        <w:trPr>
          <w:trHeight w:val="34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A647B8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C276CC" w:rsidRPr="00A647B8" w:rsidTr="00D45058">
        <w:trPr>
          <w:trHeight w:val="90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3.1.</w:t>
            </w: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C276CC" w:rsidRPr="00A647B8" w:rsidTr="00D45058">
        <w:trPr>
          <w:trHeight w:val="24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85 1 02 90110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70,0</w:t>
            </w:r>
          </w:p>
        </w:tc>
      </w:tr>
      <w:tr w:rsidR="00C276CC" w:rsidRPr="00A647B8" w:rsidTr="00D45058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430A60" w:rsidRDefault="00C276CC" w:rsidP="004E2482">
            <w:pPr>
              <w:jc w:val="center"/>
              <w:rPr>
                <w:b/>
                <w:sz w:val="26"/>
                <w:szCs w:val="26"/>
              </w:rPr>
            </w:pPr>
            <w:r w:rsidRPr="00430A60">
              <w:rPr>
                <w:b/>
                <w:sz w:val="26"/>
                <w:szCs w:val="26"/>
              </w:rPr>
              <w:t>68,3</w:t>
            </w:r>
          </w:p>
        </w:tc>
      </w:tr>
      <w:tr w:rsidR="00C276CC" w:rsidRPr="00A647B8" w:rsidTr="00D45058">
        <w:trPr>
          <w:trHeight w:val="133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68,3</w:t>
            </w:r>
          </w:p>
        </w:tc>
      </w:tr>
      <w:tr w:rsidR="00C276CC" w:rsidRPr="00A647B8" w:rsidTr="00D45058">
        <w:trPr>
          <w:trHeight w:val="25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62,080</w:t>
            </w:r>
          </w:p>
        </w:tc>
      </w:tr>
      <w:tr w:rsidR="00C276CC" w:rsidRPr="00A647B8" w:rsidTr="00D45058">
        <w:trPr>
          <w:trHeight w:val="16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6,220</w:t>
            </w:r>
          </w:p>
        </w:tc>
      </w:tr>
      <w:tr w:rsidR="00C276CC" w:rsidRPr="00A647B8" w:rsidTr="00D45058">
        <w:trPr>
          <w:trHeight w:val="52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430A60" w:rsidRDefault="00C276CC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1890,2</w:t>
            </w:r>
          </w:p>
        </w:tc>
      </w:tr>
      <w:tr w:rsidR="00C276CC" w:rsidRPr="00A647B8" w:rsidTr="00D45058">
        <w:trPr>
          <w:trHeight w:val="16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2F1B4E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1890,2</w:t>
            </w:r>
          </w:p>
        </w:tc>
      </w:tr>
      <w:tr w:rsidR="00C276CC" w:rsidRPr="00A647B8" w:rsidTr="00D45058">
        <w:trPr>
          <w:trHeight w:val="24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C276CC" w:rsidRPr="00A647B8" w:rsidTr="00D45058">
        <w:trPr>
          <w:trHeight w:val="147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C276CC" w:rsidRPr="00A647B8" w:rsidTr="00D45058">
        <w:trPr>
          <w:trHeight w:val="91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C276CC" w:rsidRPr="00A647B8" w:rsidTr="00D45058">
        <w:trPr>
          <w:trHeight w:val="25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CC" w:rsidRPr="00A647B8" w:rsidRDefault="00C276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</w:tbl>
    <w:p w:rsidR="00C276CC" w:rsidRDefault="00C276CC" w:rsidP="00454A30">
      <w:pPr>
        <w:jc w:val="both"/>
        <w:rPr>
          <w:i/>
          <w:sz w:val="28"/>
          <w:szCs w:val="28"/>
        </w:rPr>
      </w:pPr>
    </w:p>
    <w:p w:rsidR="00C276CC" w:rsidRDefault="00C276CC" w:rsidP="00454A30">
      <w:pPr>
        <w:jc w:val="both"/>
        <w:rPr>
          <w:i/>
          <w:sz w:val="28"/>
          <w:szCs w:val="28"/>
        </w:rPr>
      </w:pPr>
    </w:p>
    <w:p w:rsidR="00C276CC" w:rsidRDefault="00C276CC" w:rsidP="00454A30">
      <w:pPr>
        <w:jc w:val="both"/>
        <w:rPr>
          <w:i/>
          <w:sz w:val="28"/>
          <w:szCs w:val="28"/>
        </w:rPr>
      </w:pPr>
    </w:p>
    <w:p w:rsidR="00C276CC" w:rsidRDefault="00C276CC" w:rsidP="00454A30">
      <w:pPr>
        <w:jc w:val="both"/>
      </w:pPr>
    </w:p>
    <w:p w:rsidR="00C276CC" w:rsidRDefault="00C276CC" w:rsidP="00454A30">
      <w:pPr>
        <w:jc w:val="both"/>
      </w:pPr>
    </w:p>
    <w:p w:rsidR="00C276CC" w:rsidRDefault="00C276CC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sectPr w:rsidR="00C276CC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5C6"/>
    <w:rsid w:val="006B4801"/>
    <w:rsid w:val="006B4BF5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B7D"/>
    <w:rsid w:val="00F64B7F"/>
    <w:rsid w:val="00F64B89"/>
    <w:rsid w:val="00F64C7F"/>
    <w:rsid w:val="00F65014"/>
    <w:rsid w:val="00F650D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B5E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5E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23</Pages>
  <Words>6071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2016-03-14T06:23:00Z</dcterms:created>
  <dcterms:modified xsi:type="dcterms:W3CDTF">2018-03-30T13:32:00Z</dcterms:modified>
</cp:coreProperties>
</file>