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АДМИНИСТРАЦИЯ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ВЕРХНЕМАМОНСКОГО МУНИЦИПАЛЬНОГО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ВОРОНЕЖСКОЙ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                                                                                                                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Мамоновка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52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внесении изменений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«Социальная сфера» на 2020-2025 годы»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ПОСТАНОВЛЯЕТ: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Внести изменения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«Социальная сфера» на 2020-2025 годы»: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«Социальная сфера»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Мамоновского сельского поселения                                                         О.Н.Ворфоломеева</w:t>
      </w: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Утверждено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постановлением администрации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Мамоновского сельского поселения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года №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22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муниципальной программы  Мамоновского сельского поселения Верхнемамонского муниципального района Воронежской области</w:t>
      </w:r>
    </w:p>
    <w:tbl>
      <w:tblPr>
        <w:tblStyle w:val="Table1"/>
        <w:tblW w:w="10605.0" w:type="dxa"/>
        <w:jc w:val="left"/>
        <w:tblInd w:w="-601.0" w:type="dxa"/>
        <w:tblLayout w:type="fixed"/>
        <w:tblLook w:val="0000"/>
      </w:tblPr>
      <w:tblGrid>
        <w:gridCol w:w="1860"/>
        <w:gridCol w:w="8745"/>
        <w:tblGridChange w:id="0">
          <w:tblGrid>
            <w:gridCol w:w="1860"/>
            <w:gridCol w:w="8745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на 2020-2025 годы.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исполнитель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МКУ «Центр культуры Мамоновского сельского поселения Верхнемамонского муниципального района Воронежской области»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разработчики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Администрация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Подпрограммы муниципальной программы и основные мероприятия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Выделение подпрограмм в данной муниципальной программе не предусмотрено.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мероприятия муниципальной программы: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«Организация обеспечения социальных выплат отдельным категориям граждан»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многообразной и полноценной культурной жизни населения Мамоновского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библиотечного обслуживания населения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жителей поселения услугами организаций культуры.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массовой физической культуры и спорта, пропаганда физической культуры и спорта как важнейшей составляющей здорового образа жизни.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Социальная поддержка отдельных категорий граждан.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проведения оплачиваемых общественных работ.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Целевые индикаторы и показатели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жителей сельского поселения посещающих библиотеки;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охваченного мероприятиями в сфере культуры, от общей численности населения;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систематически занимающихся физической культурой и спортом, в общей численности населения.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граждан, получивших материальную помощь, из количества граждан обратившихся за материальной помощью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коэффициента напряженности на полном рынке труда;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 и сроки реализации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реализации:  2020-2025 годы, выделение отдельных этапов реализации программы не предусмотрено.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 финансирования муниципальной программы составляет  - 10423,5 тыс. рублей, 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 федеральный бюджет – 0,0  тыс. рублей.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 областной бюджет –    0,0  тыс. рублей;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 местный бюджет – 10423,5 тыс. рублей;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 внебюджетные  средства – 0,0 тыс. рублей;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годам реализации муниципальной программы: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 год: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  2216,3 тыс. рублей, 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 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  2216,3  тыс. рублей;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2021 год: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 2658,7 тыс. рублей,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  2658,7 тыс. рублей;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2022 год: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  3341,7 тыс. рублей,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 3341,7 тыс. рублей;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2023 год: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–701,6 тыс. рублей,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федеральный бюджет – 0,0 тыс. руб.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–701,6 тыс. рублей;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2024 год: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 752,6  тыс. рублей,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   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 752,6 тыс. рублей;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2025 год: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 –  752,6 тыс.рублей,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местный бюджет – 752,6 тыс. рублей;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Источником финансирования программы является бюджет Мамоновского сельского поселения с привлечением других источников финансирования.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Ожидаемые конечные результаты реализации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Увеличение количества жителей сельского поселения посещающих библиотеки на 5% ежегодно;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Увеличение доли населения, охваченного мероприятиями в сфере культуры, от общей численности населения на 1% ежегодно;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 Коэффициента напряженности на полном рынке труда к 2025 году составит 1,37;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характеристика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сферы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Мамоновского сельского поселения Верхнемамонского муниципального района Воронежской области (далее – сельское поселение), постановлением администрации Мамоновского сельского поселения от 17 апреля 2020 года № 31 «О порядке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Мамоновском сельском поселении функционирует МКУ «Центр культуры Мамоновского сельского поселения Верхнемамонского муниципального района Воронежской области». Деятельность учреждения ведется в двух направлениях: библиотечное обслуживание населения и культура.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Библиотечный фонд составляет 12994 экземпляр. В 2018 году посещаемость библиотеки составила 315 чел. В учреждении ведутся различные кружки и занятия. Работники учреждения проводят в среднем 200 мероприятий в год, организуют выставки.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Требуется переход к  новому уровню функционирования отрасли культуры, включая библиотечное, музейное дело,  развитие традиционной народной  культуры.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Реализация такого перехода  предполагает: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качественное изменение подходов к оказанию услуг  в сфере культуры,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улучшения материально-технической базы отрасли,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повышение профессионального уровня работников,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укрепление кадрового потенциала;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-сохранение и восстановление историко-культурного и природного наследия Мамоновского  сельского поселения.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Организацию физкультурно-массовой и спортивной работы в сельском поселении осуществляют 1 учитель физической культуры образовательного учреждения. Функционирует 7 спортивных сооружений, в том числе: 1 спортивный зал в образовательном учреждении, 6 детских и спортивных площадок. Все находятся в муниципальной собственности.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сельском поселении действуют секции по футболу, волейболу и другим видам спорта, общее количество участников 98, в том числе детей 67.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проблемы организации физической культуры и спорта в сельском поселении: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недостаточное финансирование физической культуры и спорта;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материально-техническое обеспечение развития физической культуры и спорта;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дефицит квалифицированных тренерских кадров в сфере физической культуры и спорта.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Мероприятия 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областным законодательством, Программой предусматривается предоставление наименее защищенным слоям населения, дополнительных видов социальной поддержки за счет средств местного бюджета, в частности единовременной материальной помощи.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общественных работ, с целью обеспечения временной занятости граждан, позволяет одновременно решать, как задачи, связанные с жизнеобеспечением территории сельского поселения,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указанных проблем программно-целевым методом будет направлено на достижение стратегических целей развития местного самоуправления в сельском поселении.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Приоритеты муниципальной политики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Приоритеты муниципальной политики в сфере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Стратегией социально-экономического развития Воронежской области на период до 2035 года и Стратегией социально-экономического развития Верхнемамонского муниципального района   до 2035 года определены следующие основные приоритетные направления   в сфере культуры: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укрепление материально-технической базы учреждения культуры;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повышение социального статуса работников культуры (уровень доходов, общественное признание) и  системы подготовки кадров;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сохранности и всеобщей доступности информационных ресурсов:  фондов библиотек.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пропаганда здорового образа жизни среди жителей сельского поселения;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расширение возможности для физкультурно-оздоровительных занятий населения сельского поселения;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реализация мер государственной социальной поддержки граждан, установленных законодательством;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сохранения ранее достигнутого уровня социальной поддержки граждан;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ориентация на решение наиболее актуальных проблем в сфере содействия занятости населения, таких как безработица на селе, безработица граждан, испытывающих трудности в поиске работы.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Цели, задачи и показатели (индикаторы) достижения целей и решения задач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Целью муниципальной программы является формирование многообразной и полноценной культурной жизни населения Мамоновского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Организация библиотечного обслуживания населения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Обеспечение жителей поселения услугами организаций культуры.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Развитие массовой физической культуры и спорта, пропаганда физической культуры и спорта как важнейшей составляющей здорового образа жизни.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Социальная поддержка отдельных категорий граждан.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Организация проведения оплачиваемых общественных работ.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жителей сельского поселения посещающих библиотеки.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расчета индикатора необходимо брать количество читателей, посещающих библиотеку, на 1 января года, следующего за отчетным.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населения, охваченного мероприятиями в сфере культуры, от общей численности населения;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Д=К/Ч*100%,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К – количество жителей, участвовавших в мероприятиях (концертах, выставках, праздниках), Ч – среднегодовая численность населения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населения, систематически занимающихся физической культурой и спортом, в общей численности населения.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Д=К/Ч*100%,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К – количество жителей, участвовавших в спортивных мероприятиях, а так же посещающих различные спортивные секции, Ч – среднегодовая численность населения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граждан, получивших материальную помощь, из количества граждан обратившихся за материальной помощью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Д=П/О*100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П – количество получивших материальную помощь граждан, О – количество обратившихся граждан за материальной помощью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Уменьшение коэффициента напряженности на полном рынке труда;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 = Чбмот / Кв, где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 – коэффициент напряженности на полном рынке труда, единиц;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Чбмот – численность безработных граждан, рассчитанная по методологии Международной организации труда, чел.;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 – среднемесячное количество вакансий, содержащихся в базе данных службы занятости населения, заявленных работодателями, единиц.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Описания показателей (индикаторов) представлены в приложении 1.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Конечные результаты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Основными конечными ожидаемыми результатами реализации программы являются: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Увеличение количества жителей сельского поселения посещающих библиотеки на 5% ежегодно;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Увеличение доли населения, охваченного мероприятиями в сфере культуры, от общей численности населения на 1% ежегодно;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Коэффициент напряженности на полном рынке труда к 2025 году составит 1,37.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8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и этапы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Обоснование выделения подпрограмм и обобщенная характеристика основных мероприятий.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Выделение подпрограмм в данной муниципальной программе не предусмотрено.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мероприятия муниципальной программы: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Основное мероприятие «Содействие сохранению и развитию муниципальных учреждений культуры». В рамках данного мероприятия отражаются расходы на содержание учреждений культуры, библиотеку, материально – техническое обеспечение, проведение культурно – массовых мероприятий.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поселении». В рамках данного мероприятия отражаются расходы на проведение мероприятий физической культуры и спорта.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Основное мероприятие «Организация обеспечения социальных выплат отдельным категориям граждан». В рамках данного мероприятия отражаются расходы на социальные выплаты гражданам, попавшим в трудную жизненную ситуацию.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поселения». В рамках данного мероприятия отражаются расходы на проведение общественных оплачиваемых работ.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Ресурсное обеспечение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объем средств местного бюджета на выполнение программных мероприятий на период действия программы составит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10423,5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тыс. рублей.</w:t>
      </w:r>
    </w:p>
    <w:p w:rsidR="00000000" w:rsidDel="00000000" w:rsidP="00000000" w:rsidRDefault="00000000" w:rsidRPr="00000000" w14:paraId="000000E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местного бюджета на реализацию муниципальной программы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1418"/>
        <w:gridCol w:w="992"/>
        <w:gridCol w:w="1417"/>
        <w:gridCol w:w="993"/>
        <w:gridCol w:w="1275"/>
        <w:gridCol w:w="1276"/>
        <w:tblGridChange w:id="0">
          <w:tblGrid>
            <w:gridCol w:w="2518"/>
            <w:gridCol w:w="1418"/>
            <w:gridCol w:w="992"/>
            <w:gridCol w:w="1417"/>
            <w:gridCol w:w="993"/>
            <w:gridCol w:w="1275"/>
            <w:gridCol w:w="12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3341,7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3341,7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Финансирование мероприятий муниципальной  программы на текущий финансовый год приведено в приложении 4.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рисков реализации муниципальной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описание мер управления рисками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реализации программы возможно возникновение следующих рисков: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изменение законодательства Российской Федерации, Воронежской области, муниципальных правовых актов сельского поселения; регулирующего решение поставленных в программе задач;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недостаточное материально-техническое и финансовое обеспечение полномочий органов местного самоуправления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отсутствие надлежащего кадрового обеспечения для реализации полномочий органов местного самоуправления.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управления рисками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данных рисков - риски низкие.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эффективности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эффективности реализации муниципальной программы будет осуществляться путем ежегодного сопоставления: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фактических (в сопоставимых условиях) и планируемых значений целевых индикаторов муниципальной программы (целевой параметр – 100%);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134" w:top="567" w:left="1276" w:right="85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показателях (индикаторах) муниципальной программы Мамоновского сельского поселения «Социальная сфера» на 2020-2025 годы и их значениях.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3"/>
        <w:gridCol w:w="5154"/>
        <w:gridCol w:w="1257"/>
        <w:gridCol w:w="850"/>
        <w:gridCol w:w="885"/>
        <w:gridCol w:w="855"/>
        <w:gridCol w:w="696"/>
        <w:gridCol w:w="963"/>
        <w:gridCol w:w="993"/>
        <w:gridCol w:w="977"/>
        <w:gridCol w:w="977"/>
        <w:gridCol w:w="993"/>
        <w:tblGridChange w:id="0">
          <w:tblGrid>
            <w:gridCol w:w="753"/>
            <w:gridCol w:w="5154"/>
            <w:gridCol w:w="1257"/>
            <w:gridCol w:w="850"/>
            <w:gridCol w:w="885"/>
            <w:gridCol w:w="855"/>
            <w:gridCol w:w="696"/>
            <w:gridCol w:w="963"/>
            <w:gridCol w:w="993"/>
            <w:gridCol w:w="977"/>
            <w:gridCol w:w="977"/>
            <w:gridCol w:w="993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 (индикатора)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Пункт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Федера-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Льного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плана</w:t>
              <w:br w:type="textWrapping"/>
              <w:t xml:space="preserve"> статистических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Ед. изме-рения</w:t>
            </w:r>
          </w:p>
        </w:tc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Значения показателя (индикатора) по годам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реализации муниципальной программы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 "СОЦИАЛЬНАЯ СФЕРА"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жителей сельского поселения посещающих библиотеки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347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402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охваченного мероприятиями в сфере культуры, от общей численности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61,5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граждан, получивших материальную помощь, из количества граждан обратившихся за материальной помощью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Уменьшение коэффициента напряженности на полном рынке труда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1.37</w:t>
            </w:r>
          </w:p>
        </w:tc>
      </w:tr>
    </w:tbl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     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4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2835"/>
        <w:gridCol w:w="2693"/>
        <w:gridCol w:w="1035"/>
        <w:gridCol w:w="15"/>
        <w:gridCol w:w="1077"/>
        <w:gridCol w:w="1134"/>
        <w:gridCol w:w="992"/>
        <w:gridCol w:w="992"/>
        <w:gridCol w:w="992"/>
        <w:gridCol w:w="957"/>
        <w:tblGridChange w:id="0">
          <w:tblGrid>
            <w:gridCol w:w="2518"/>
            <w:gridCol w:w="2835"/>
            <w:gridCol w:w="2693"/>
            <w:gridCol w:w="1035"/>
            <w:gridCol w:w="15"/>
            <w:gridCol w:w="1077"/>
            <w:gridCol w:w="1134"/>
            <w:gridCol w:w="992"/>
            <w:gridCol w:w="992"/>
            <w:gridCol w:w="992"/>
            <w:gridCol w:w="957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программы, подпрограммы, основного мероприятия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Расходы местного бюджета на реализацию муниципальной программы, тыс.руб.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9843,5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2761,7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9843,5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2761,7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9838,7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2759,6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9838,7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2759,6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3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Мамоновском сельского поселения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 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"Социальная сфера"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2020-2025 годы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86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1985"/>
        <w:gridCol w:w="2693"/>
        <w:gridCol w:w="960"/>
        <w:gridCol w:w="1308"/>
        <w:gridCol w:w="1134"/>
        <w:gridCol w:w="992"/>
        <w:gridCol w:w="992"/>
        <w:gridCol w:w="1134"/>
        <w:gridCol w:w="1070"/>
        <w:tblGridChange w:id="0">
          <w:tblGrid>
            <w:gridCol w:w="2518"/>
            <w:gridCol w:w="1985"/>
            <w:gridCol w:w="2693"/>
            <w:gridCol w:w="960"/>
            <w:gridCol w:w="1308"/>
            <w:gridCol w:w="1134"/>
            <w:gridCol w:w="992"/>
            <w:gridCol w:w="992"/>
            <w:gridCol w:w="1134"/>
            <w:gridCol w:w="107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Источники 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ресурсного 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обеспечения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расходов по годам реализации муниципальной программы, тыс. 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7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10423,5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2216,3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3341,7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9843,5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2761,7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10418,7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3339,6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9838,7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2759,6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Мамоновском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4</w:t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реализации муниципальной программы  "Социальная сфера"  на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78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1810"/>
        <w:gridCol w:w="2268"/>
        <w:gridCol w:w="1559"/>
        <w:gridCol w:w="1559"/>
        <w:gridCol w:w="2977"/>
        <w:gridCol w:w="1785"/>
        <w:gridCol w:w="1978"/>
        <w:tblGridChange w:id="0">
          <w:tblGrid>
            <w:gridCol w:w="850"/>
            <w:gridCol w:w="1810"/>
            <w:gridCol w:w="2268"/>
            <w:gridCol w:w="1559"/>
            <w:gridCol w:w="1559"/>
            <w:gridCol w:w="2977"/>
            <w:gridCol w:w="1785"/>
            <w:gridCol w:w="1978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 подпрограммы,  основного мероприятия, мероприятия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01.01.202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31.12.202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3341,7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многообразной и полноценной культурной жизни населения Мамоновского сельского поселения;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91408011100190590000</w:t>
            </w:r>
          </w:p>
          <w:p w:rsidR="00000000" w:rsidDel="00000000" w:rsidP="00000000" w:rsidRDefault="00000000" w:rsidRPr="00000000" w14:paraId="000004C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91408011100178490000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3339,6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условий, обеспечивающих возможность гражданам систематически заниматься физической культурой и спортом;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91411011100290410244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91410031100390490321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91404121100498430244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0" w:top="1276" w:left="1134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ntique Ol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9" w:hanging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515" w:hanging="9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" w:cs="Noto Sans" w:eastAsia="Noto Sans" w:hAnsi="Noto Sans"/>
        <w:vertAlign w:val="baseline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.9999999999989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312" w:hanging="2159.9999999999977"/>
      </w:pPr>
      <w:rPr>
        <w:b w:val="0"/>
        <w:vertAlign w:val="baseline"/>
      </w:rPr>
    </w:lvl>
  </w:abstractNum>
  <w:abstractNum w:abstractNumId="6">
    <w:lvl w:ilvl="0">
      <w:start w:val="0"/>
      <w:numFmt w:val="bullet"/>
      <w:lvlText w:val="-"/>
      <w:lvlJc w:val="left"/>
      <w:pPr>
        <w:ind w:left="1211" w:hanging="360"/>
      </w:pPr>
      <w:rPr>
        <w:rFonts w:ascii="Antique Olive" w:cs="Antique Olive" w:eastAsia="Antique Olive" w:hAnsi="Antique Oliv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nt5">
    <w:name w:val="font5"/>
    <w:basedOn w:val="Обычный"/>
    <w:next w:val="font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xl67">
    <w:name w:val="xl67"/>
    <w:basedOn w:val="Обычный"/>
    <w:next w:val="xl6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8">
    <w:name w:val="xl68"/>
    <w:basedOn w:val="Обычный"/>
    <w:next w:val="xl6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9">
    <w:name w:val="xl69"/>
    <w:basedOn w:val="Обычный"/>
    <w:next w:val="xl6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0">
    <w:name w:val="xl70"/>
    <w:basedOn w:val="Обычный"/>
    <w:next w:val="xl7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1">
    <w:name w:val="xl71"/>
    <w:basedOn w:val="Обычный"/>
    <w:next w:val="xl7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2">
    <w:name w:val="xl72"/>
    <w:basedOn w:val="Обычный"/>
    <w:next w:val="xl7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3">
    <w:name w:val="xl73"/>
    <w:basedOn w:val="Обычный"/>
    <w:next w:val="xl73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4">
    <w:name w:val="xl74"/>
    <w:basedOn w:val="Обычный"/>
    <w:next w:val="xl7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5">
    <w:name w:val="xl75"/>
    <w:basedOn w:val="Обычный"/>
    <w:next w:val="xl7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6">
    <w:name w:val="xl76"/>
    <w:basedOn w:val="Обычный"/>
    <w:next w:val="xl7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7">
    <w:name w:val="xl77"/>
    <w:basedOn w:val="Обычный"/>
    <w:next w:val="xl7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8">
    <w:name w:val="xl78"/>
    <w:basedOn w:val="Обычный"/>
    <w:next w:val="xl7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9">
    <w:name w:val="xl79"/>
    <w:basedOn w:val="Обычный"/>
    <w:next w:val="xl7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0">
    <w:name w:val="xl80"/>
    <w:basedOn w:val="Обычный"/>
    <w:next w:val="xl80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1">
    <w:name w:val="xl81"/>
    <w:basedOn w:val="Обычный"/>
    <w:next w:val="xl8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2">
    <w:name w:val="xl82"/>
    <w:basedOn w:val="Обычный"/>
    <w:next w:val="xl8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3">
    <w:name w:val="xl83"/>
    <w:basedOn w:val="Обычный"/>
    <w:next w:val="xl8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4">
    <w:name w:val="xl84"/>
    <w:basedOn w:val="Обычный"/>
    <w:next w:val="xl8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5">
    <w:name w:val="xl85"/>
    <w:basedOn w:val="Обычный"/>
    <w:next w:val="xl8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6">
    <w:name w:val="xl86"/>
    <w:basedOn w:val="Обычный"/>
    <w:next w:val="xl86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7">
    <w:name w:val="xl87"/>
    <w:basedOn w:val="Обычный"/>
    <w:next w:val="xl8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8">
    <w:name w:val="xl88"/>
    <w:basedOn w:val="Обычный"/>
    <w:next w:val="xl8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9">
    <w:name w:val="xl89"/>
    <w:basedOn w:val="Обычный"/>
    <w:next w:val="xl89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0">
    <w:name w:val="xl90"/>
    <w:basedOn w:val="Обычный"/>
    <w:next w:val="xl90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1">
    <w:name w:val="xl91"/>
    <w:basedOn w:val="Обычный"/>
    <w:next w:val="xl9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2">
    <w:name w:val="xl92"/>
    <w:basedOn w:val="Обычный"/>
    <w:next w:val="xl9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3">
    <w:name w:val="xl93"/>
    <w:basedOn w:val="Обычный"/>
    <w:next w:val="xl93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4">
    <w:name w:val="xl94"/>
    <w:basedOn w:val="Обычный"/>
    <w:next w:val="xl94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5">
    <w:name w:val="xl95"/>
    <w:basedOn w:val="Обычный"/>
    <w:next w:val="xl9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6">
    <w:name w:val="xl96"/>
    <w:basedOn w:val="Обычный"/>
    <w:next w:val="xl9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7">
    <w:name w:val="xl97"/>
    <w:basedOn w:val="Обычный"/>
    <w:next w:val="xl9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8">
    <w:name w:val="xl98"/>
    <w:basedOn w:val="Обычный"/>
    <w:next w:val="xl98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9">
    <w:name w:val="xl99"/>
    <w:basedOn w:val="Обычный"/>
    <w:next w:val="xl9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0">
    <w:name w:val="xl100"/>
    <w:basedOn w:val="Обычный"/>
    <w:next w:val="xl10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1">
    <w:name w:val="xl101"/>
    <w:basedOn w:val="Обычный"/>
    <w:next w:val="xl10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2">
    <w:name w:val="xl102"/>
    <w:basedOn w:val="Обычный"/>
    <w:next w:val="xl10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3">
    <w:name w:val="xl103"/>
    <w:basedOn w:val="Обычный"/>
    <w:next w:val="xl10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4">
    <w:name w:val="xl104"/>
    <w:basedOn w:val="Обычный"/>
    <w:next w:val="xl10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5">
    <w:name w:val="xl105"/>
    <w:basedOn w:val="Обычный"/>
    <w:next w:val="xl105"/>
    <w:autoRedefine w:val="0"/>
    <w:hidden w:val="0"/>
    <w:qFormat w:val="0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6">
    <w:name w:val="xl106"/>
    <w:basedOn w:val="Обычный"/>
    <w:next w:val="xl106"/>
    <w:autoRedefine w:val="0"/>
    <w:hidden w:val="0"/>
    <w:qFormat w:val="0"/>
    <w:pPr>
      <w:pBdr>
        <w:top w:color="auto" w:space="0" w:sz="8" w:val="single"/>
        <w:bottom w:color="auto" w:space="0" w:sz="8" w:val="single"/>
        <w:right w:color="auto" w:space="0" w:sz="8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7">
    <w:name w:val="xl107"/>
    <w:basedOn w:val="Обычный"/>
    <w:next w:val="xl107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8">
    <w:name w:val="xl108"/>
    <w:basedOn w:val="Обычный"/>
    <w:next w:val="xl108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9">
    <w:name w:val="xl109"/>
    <w:basedOn w:val="Обычный"/>
    <w:next w:val="xl109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0">
    <w:name w:val="xl110"/>
    <w:basedOn w:val="Обычный"/>
    <w:next w:val="xl110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1">
    <w:name w:val="xl111"/>
    <w:basedOn w:val="Обычный"/>
    <w:next w:val="xl111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2">
    <w:name w:val="xl112"/>
    <w:basedOn w:val="Обычный"/>
    <w:next w:val="xl112"/>
    <w:autoRedefine w:val="0"/>
    <w:hidden w:val="0"/>
    <w:qFormat w:val="0"/>
    <w:pPr>
      <w:pBdr>
        <w:lef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3">
    <w:name w:val="xl113"/>
    <w:basedOn w:val="Обычный"/>
    <w:next w:val="xl113"/>
    <w:autoRedefine w:val="0"/>
    <w:hidden w:val="0"/>
    <w:qFormat w:val="0"/>
    <w:pPr>
      <w:pBdr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4">
    <w:name w:val="xl114"/>
    <w:basedOn w:val="Обычный"/>
    <w:next w:val="xl11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5">
    <w:name w:val="xl115"/>
    <w:basedOn w:val="Обычный"/>
    <w:next w:val="xl11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6">
    <w:name w:val="xl116"/>
    <w:basedOn w:val="Обычный"/>
    <w:next w:val="xl11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7">
    <w:name w:val="xl117"/>
    <w:basedOn w:val="Обычный"/>
    <w:next w:val="xl117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8">
    <w:name w:val="xl118"/>
    <w:basedOn w:val="Обычный"/>
    <w:next w:val="xl11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text1">
    <w:name w:val="text1"/>
    <w:next w:val="tex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Знак1">
    <w:name w:val="Знак1"/>
    <w:basedOn w:val="Обычный"/>
    <w:next w:val="Знак1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0" w:line="240" w:lineRule="auto"/>
      <w:ind w:left="708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ConsPlusCell">
    <w:name w:val="ConsPlusCell"/>
    <w:next w:val="ConsPlusCel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styleId="БезинтервалаЗнак">
    <w:name w:val="Без интервала Знак"/>
    <w:next w:val="Безинтервала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numbering" w:styleId="Нетсписка1">
    <w:name w:val="Нет списка1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xl119">
    <w:name w:val="xl119"/>
    <w:basedOn w:val="Обычный"/>
    <w:next w:val="xl11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20">
    <w:name w:val="xl120"/>
    <w:basedOn w:val="Обычный"/>
    <w:next w:val="xl12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Сеткатаблицы1">
    <w:name w:val="Сетка таблицы1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Nonformat">
    <w:name w:val="ConsNonformat"/>
    <w:next w:val="Con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right="19772" w:leftChars="-1" w:rightChars="0" w:firstLineChars="-1"/>
      <w:textDirection w:val="btLr"/>
      <w:textAlignment w:val="top"/>
      <w:outlineLvl w:val="0"/>
    </w:pPr>
    <w:rPr>
      <w:rFonts w:ascii="Courier New" w:cs="Courier New" w:eastAsia="SimSun" w:hAnsi="Courier New"/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PRVwn/I5KHy9CWz1wzcQ7c1HQ==">AMUW2mVgJaI3RMffHhyv1bHDWkIkQvS3xXOM4O9kAL6C55UZBYHw3CT/OeuHFP0G6nhSDpxr7BxBOs3IjUAcZmmtorOrfYlSO0wFrAnCALqQgXJ2O1bUEqo=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2019-10-18T07:42:00Z</dcterms:created>
  <dc:creator>Администрация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