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45" w:rsidRPr="002B295F" w:rsidRDefault="008F5F45" w:rsidP="008F5F45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 ДЕПУТАТОВ </w:t>
      </w:r>
    </w:p>
    <w:p w:rsidR="008F5F45" w:rsidRPr="002B295F" w:rsidRDefault="008A398D" w:rsidP="008F5F45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ТВЕРДОХЛЕБОВСКОГО</w:t>
      </w:r>
      <w:r w:rsidR="002B2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5F45" w:rsidRPr="002B2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:rsidR="008F5F45" w:rsidRPr="002B295F" w:rsidRDefault="008F5F45" w:rsidP="008F5F45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БОГУЧАРСКОГО МУНИЦИПАЛЬНОГО РАЙОНА </w:t>
      </w:r>
    </w:p>
    <w:p w:rsidR="008F5F45" w:rsidRPr="002B295F" w:rsidRDefault="008F5F45" w:rsidP="008F5F45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8F5F45" w:rsidRPr="002B295F" w:rsidRDefault="008F5F45" w:rsidP="008F5F45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F5F45" w:rsidRPr="002B295F" w:rsidRDefault="008F5F45" w:rsidP="008F5F45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F45" w:rsidRPr="002B295F" w:rsidRDefault="008F5F45" w:rsidP="008F5F45">
      <w:pPr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9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8A398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2B2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B29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2B2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B295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B2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8A398D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2B2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5F45" w:rsidRPr="002B295F" w:rsidRDefault="008A398D" w:rsidP="008A398D">
      <w:pPr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F5F45" w:rsidRPr="002B2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Твердохлебовка</w:t>
      </w:r>
      <w:proofErr w:type="spellEnd"/>
    </w:p>
    <w:p w:rsidR="008F5F45" w:rsidRPr="002B295F" w:rsidRDefault="008F5F45" w:rsidP="008F5F45">
      <w:pPr>
        <w:spacing w:after="0" w:line="240" w:lineRule="auto"/>
        <w:ind w:left="285" w:right="282"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E85" w:rsidRDefault="008F5F45" w:rsidP="002B295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 w:rsidRPr="002B295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="00DD2E8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б установлении ставок и сроков уплаты </w:t>
      </w:r>
    </w:p>
    <w:p w:rsidR="008F5F45" w:rsidRPr="002B295F" w:rsidRDefault="008F5F45" w:rsidP="002B295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 w:rsidRPr="002B295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налог</w:t>
      </w:r>
      <w:r w:rsidR="00DD2E8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2B295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на имущество физических лиц</w:t>
      </w:r>
    </w:p>
    <w:p w:rsidR="008F5F45" w:rsidRPr="002B295F" w:rsidRDefault="008F5F45" w:rsidP="008F5F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</w:p>
    <w:p w:rsidR="008F5F45" w:rsidRPr="002B295F" w:rsidRDefault="008F5F45" w:rsidP="00897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главой 32 Налогового кодекса Р</w:t>
      </w:r>
      <w:r w:rsidR="00897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97C9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Воронежской области от 19.06.2015 № 105-03 «Об установлении единой даты начала применения на территории Воронежской области порядка определения налоговой базы по налогу на имущество физических лиц исходя из кадастровой стоимости объектов налогообложения», Совет народных депутатов </w:t>
      </w:r>
      <w:proofErr w:type="spellStart"/>
      <w:r w:rsidR="008A398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Твердохлебовского</w:t>
      </w:r>
      <w:proofErr w:type="spellEnd"/>
      <w:r w:rsid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(далее по тексту - </w:t>
      </w:r>
      <w:proofErr w:type="spellStart"/>
      <w:r w:rsidR="008A398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Твердохлебовского</w:t>
      </w:r>
      <w:proofErr w:type="spellEnd"/>
      <w:r w:rsidR="008A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поселения) </w:t>
      </w:r>
      <w:r w:rsidRPr="002B2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  <w:proofErr w:type="gramEnd"/>
    </w:p>
    <w:p w:rsidR="008F5F45" w:rsidRPr="002B295F" w:rsidRDefault="003D1F57" w:rsidP="00897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F5F45"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</w:t>
      </w:r>
      <w:r w:rsid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8A398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Твердохлебовского</w:t>
      </w:r>
      <w:proofErr w:type="spellEnd"/>
      <w:r w:rsidR="008A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8F5F45"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ставки налога на имущество физических лиц (жилые дома, квартиры, комнаты, гаражи, </w:t>
      </w:r>
      <w:proofErr w:type="spellStart"/>
      <w:r w:rsidR="008F5F45"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машино-место</w:t>
      </w:r>
      <w:proofErr w:type="spellEnd"/>
      <w:r w:rsidR="008F5F45"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>, единый недвижимый комплекс, объект незавершенного строительства, иные здание, строение, сооружение, помещение) в зависимости от кадастровой стоимости объектов налогообложения, согласно приложению.</w:t>
      </w:r>
    </w:p>
    <w:p w:rsidR="008F5F45" w:rsidRPr="002B295F" w:rsidRDefault="002B295F" w:rsidP="00897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F5F45"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F5F45" w:rsidRPr="002B29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 подлежит уплате налогоплательщиками в срок не позднее 1 декабря года, следующего за истекшим налоговым периодом.</w:t>
      </w:r>
    </w:p>
    <w:p w:rsidR="008F5F45" w:rsidRPr="002B295F" w:rsidRDefault="008F5F45" w:rsidP="00897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29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 уплачивается по месту нахождения объекта налогообложения на основании </w:t>
      </w:r>
      <w:hyperlink r:id="rId6" w:anchor="block_1000" w:tgtFrame="_self" w:history="1">
        <w:r w:rsidRPr="002B295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налогового уведомления</w:t>
        </w:r>
      </w:hyperlink>
      <w:r w:rsidRPr="002B29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направляемого налогоплательщику налоговым органом.</w:t>
      </w:r>
    </w:p>
    <w:p w:rsidR="008F5F45" w:rsidRPr="002B295F" w:rsidRDefault="008F5F45" w:rsidP="00897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29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8F5F45" w:rsidRPr="002B295F" w:rsidRDefault="008F5F45" w:rsidP="00897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29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8F5F45" w:rsidRPr="002B295F" w:rsidRDefault="008F5F45" w:rsidP="00897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</w:t>
      </w:r>
      <w:r w:rsidR="003D1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по истечении одного месяца со дня его официального опубликования в </w:t>
      </w:r>
      <w:r w:rsidR="00DD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Вестнике органов местного самоуправления </w:t>
      </w:r>
      <w:proofErr w:type="spellStart"/>
      <w:r w:rsidR="008A398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Твердохлебовского</w:t>
      </w:r>
      <w:proofErr w:type="spellEnd"/>
      <w:r w:rsidR="008A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E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ранее </w:t>
      </w:r>
      <w:r w:rsidR="003D1F5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1F57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D1F5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F45" w:rsidRPr="002B295F" w:rsidRDefault="008F5F45" w:rsidP="00897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 момента вступления в силу настоящего решения признать утратившим сил решение Совета народных депутатов </w:t>
      </w:r>
      <w:proofErr w:type="spellStart"/>
      <w:r w:rsidR="008A398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Твердохлебовского</w:t>
      </w:r>
      <w:proofErr w:type="spellEnd"/>
      <w:r w:rsidR="008A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</w:t>
      </w:r>
      <w:r w:rsidR="008A398D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344BB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44B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A398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налоге на имущество физических лиц»</w:t>
      </w:r>
    </w:p>
    <w:p w:rsidR="00344BBA" w:rsidRDefault="008F5F45" w:rsidP="00897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proofErr w:type="gramStart"/>
      <w:r w:rsidR="00344BBA"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44BBA"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B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344BBA"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</w:t>
      </w:r>
      <w:r w:rsidR="00344B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344BBA"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возложить на постоянную комиссию Совета народных депутатов  </w:t>
      </w:r>
      <w:proofErr w:type="spellStart"/>
      <w:r w:rsidR="008A398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Твердохлебовского</w:t>
      </w:r>
      <w:proofErr w:type="spellEnd"/>
      <w:r w:rsidR="008A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BBA"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 бюджету, налогам, финансам и предпринимательству, по аграрной политике, земельным отношениям, муниципальной собственности и охране окружающей среды  (</w:t>
      </w:r>
      <w:r w:rsidR="008A398D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И.В.</w:t>
      </w:r>
      <w:r w:rsidR="00344BBA"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и главу </w:t>
      </w:r>
      <w:proofErr w:type="spellStart"/>
      <w:r w:rsidR="008A398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Твердохлебовского</w:t>
      </w:r>
      <w:proofErr w:type="spellEnd"/>
      <w:r w:rsidR="008A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BBA"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proofErr w:type="spellStart"/>
      <w:r w:rsidR="008A398D">
        <w:rPr>
          <w:rFonts w:ascii="Times New Roman" w:eastAsia="Times New Roman" w:hAnsi="Times New Roman" w:cs="Times New Roman"/>
          <w:sz w:val="28"/>
          <w:szCs w:val="28"/>
          <w:lang w:eastAsia="ru-RU"/>
        </w:rPr>
        <w:t>Чвикалова</w:t>
      </w:r>
      <w:proofErr w:type="spellEnd"/>
      <w:r w:rsidR="008A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</w:t>
      </w:r>
      <w:r w:rsidR="00344B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F45" w:rsidRPr="002B295F" w:rsidRDefault="008F5F45" w:rsidP="00344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F45" w:rsidRPr="002B295F" w:rsidRDefault="008F5F45" w:rsidP="008F5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8A398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Твердохлебовского</w:t>
      </w:r>
      <w:proofErr w:type="spellEnd"/>
      <w:r w:rsidR="008A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</w:t>
      </w:r>
      <w:r w:rsidR="008A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8A398D">
        <w:rPr>
          <w:rFonts w:ascii="Times New Roman" w:eastAsia="Times New Roman" w:hAnsi="Times New Roman" w:cs="Times New Roman"/>
          <w:sz w:val="28"/>
          <w:szCs w:val="28"/>
          <w:lang w:eastAsia="ru-RU"/>
        </w:rPr>
        <w:t>Чвикалов</w:t>
      </w:r>
      <w:proofErr w:type="spellEnd"/>
      <w:r w:rsidR="008A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</w:t>
      </w:r>
    </w:p>
    <w:p w:rsidR="007713DB" w:rsidRDefault="007713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F5F45" w:rsidRPr="002B295F" w:rsidRDefault="008F5F45" w:rsidP="002B295F">
      <w:pPr>
        <w:spacing w:after="0" w:line="240" w:lineRule="auto"/>
        <w:ind w:left="285" w:right="-143" w:firstLine="5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8F5F45" w:rsidRPr="002B295F" w:rsidRDefault="008F5F45" w:rsidP="002B295F">
      <w:pPr>
        <w:spacing w:after="0" w:line="240" w:lineRule="auto"/>
        <w:ind w:left="285" w:right="-143" w:firstLine="5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народных депутатов </w:t>
      </w:r>
    </w:p>
    <w:p w:rsidR="008F5F45" w:rsidRPr="002B295F" w:rsidRDefault="008A398D" w:rsidP="002B295F">
      <w:pPr>
        <w:spacing w:after="0" w:line="240" w:lineRule="auto"/>
        <w:ind w:left="285" w:right="-143" w:firstLine="5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Твердохлебовского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F45"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F5F45" w:rsidRPr="002B295F" w:rsidRDefault="008F5F45" w:rsidP="002B295F">
      <w:pPr>
        <w:spacing w:after="0" w:line="240" w:lineRule="auto"/>
        <w:ind w:left="285" w:right="-143" w:firstLine="5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A398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897C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97C9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B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A398D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</w:p>
    <w:p w:rsidR="008F5F45" w:rsidRPr="002B295F" w:rsidRDefault="008F5F45" w:rsidP="008F5F45">
      <w:pPr>
        <w:spacing w:after="0" w:line="240" w:lineRule="auto"/>
        <w:ind w:left="285" w:right="282" w:firstLine="5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94" w:rsidRDefault="00897C94" w:rsidP="008F5F45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F45" w:rsidRPr="002B295F" w:rsidRDefault="008F5F45" w:rsidP="008F5F45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Ставки налога на имущество физических лиц</w:t>
      </w:r>
    </w:p>
    <w:p w:rsidR="008F5F45" w:rsidRPr="002B295F" w:rsidRDefault="008F5F45" w:rsidP="008F5F45">
      <w:pPr>
        <w:spacing w:after="0" w:line="240" w:lineRule="auto"/>
        <w:ind w:left="285" w:right="282" w:firstLine="57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7371"/>
        <w:gridCol w:w="1418"/>
      </w:tblGrid>
      <w:tr w:rsidR="008F5F45" w:rsidRPr="002B295F" w:rsidTr="007713DB">
        <w:trPr>
          <w:trHeight w:hRule="exact" w:val="12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13DB" w:rsidRDefault="007713DB" w:rsidP="008F5F45">
            <w:pPr>
              <w:widowControl w:val="0"/>
              <w:spacing w:after="60" w:line="210" w:lineRule="exact"/>
              <w:ind w:right="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</w:p>
          <w:p w:rsidR="008F5F45" w:rsidRPr="002B295F" w:rsidRDefault="008F5F45" w:rsidP="008F5F45">
            <w:pPr>
              <w:widowControl w:val="0"/>
              <w:spacing w:after="60" w:line="210" w:lineRule="exact"/>
              <w:ind w:right="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2B295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№</w:t>
            </w:r>
          </w:p>
          <w:p w:rsidR="008F5F45" w:rsidRPr="002B295F" w:rsidRDefault="008F5F45" w:rsidP="008F5F45">
            <w:pPr>
              <w:widowControl w:val="0"/>
              <w:spacing w:after="60" w:line="210" w:lineRule="exact"/>
              <w:ind w:right="132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2B295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п</w:t>
            </w:r>
            <w:proofErr w:type="spellEnd"/>
            <w:proofErr w:type="gramEnd"/>
            <w:r w:rsidRPr="002B295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/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5F45" w:rsidRDefault="008F5F45" w:rsidP="008F5F45">
            <w:pPr>
              <w:widowControl w:val="0"/>
              <w:spacing w:after="60" w:line="-934" w:lineRule="auto"/>
              <w:ind w:right="132" w:hanging="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2B295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Наименование </w:t>
            </w:r>
            <w:r w:rsidR="007713D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объекта налогообложения</w:t>
            </w:r>
          </w:p>
          <w:p w:rsidR="003D1F57" w:rsidRPr="002B295F" w:rsidRDefault="003D1F57" w:rsidP="008F5F45">
            <w:pPr>
              <w:widowControl w:val="0"/>
              <w:spacing w:after="60" w:line="-934" w:lineRule="auto"/>
              <w:ind w:right="132" w:hanging="17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5F45" w:rsidRPr="002B295F" w:rsidRDefault="008F5F45" w:rsidP="008F5F45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</w:p>
          <w:p w:rsidR="008F5F45" w:rsidRPr="002B295F" w:rsidRDefault="008F5F45" w:rsidP="007713D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2B295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Ставка налога</w:t>
            </w:r>
          </w:p>
        </w:tc>
      </w:tr>
      <w:tr w:rsidR="008F5F45" w:rsidRPr="002B295F" w:rsidTr="007713DB">
        <w:trPr>
          <w:trHeight w:hRule="exact" w:val="481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5F45" w:rsidRPr="002B295F" w:rsidRDefault="008F5F45" w:rsidP="008F5F45">
            <w:pPr>
              <w:widowControl w:val="0"/>
              <w:spacing w:after="60" w:line="210" w:lineRule="exact"/>
              <w:ind w:right="132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2B29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5F45" w:rsidRPr="002B295F" w:rsidRDefault="008F5F45" w:rsidP="008F5F45">
            <w:pPr>
              <w:widowControl w:val="0"/>
              <w:spacing w:after="0" w:line="240" w:lineRule="auto"/>
              <w:ind w:left="113" w:right="113" w:firstLine="161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2B29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1.1. Жилой дом.</w:t>
            </w:r>
          </w:p>
          <w:p w:rsidR="008F5F45" w:rsidRPr="002B295F" w:rsidRDefault="008F5F45" w:rsidP="008F5F45">
            <w:pPr>
              <w:widowControl w:val="0"/>
              <w:spacing w:after="0" w:line="240" w:lineRule="auto"/>
              <w:ind w:left="113" w:right="113" w:firstLine="161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2B29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1.2. Объект незавершенного строительства в  случае, если проектируемым назначением такого объекта является жилой дом.</w:t>
            </w:r>
          </w:p>
          <w:p w:rsidR="008F5F45" w:rsidRPr="002B295F" w:rsidRDefault="008F5F45" w:rsidP="008F5F45">
            <w:pPr>
              <w:widowControl w:val="0"/>
              <w:spacing w:after="0" w:line="240" w:lineRule="auto"/>
              <w:ind w:left="113" w:right="113" w:firstLine="161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2B29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1.3. Единый недвижимый комплекс, в состав </w:t>
            </w:r>
            <w:proofErr w:type="gramStart"/>
            <w:r w:rsidRPr="002B29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которых</w:t>
            </w:r>
            <w:proofErr w:type="gramEnd"/>
            <w:r w:rsidRPr="002B29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входит хотя бы одно жилое помещение (жилой дом).</w:t>
            </w:r>
          </w:p>
          <w:p w:rsidR="008F5F45" w:rsidRDefault="008F5F45" w:rsidP="008F5F45">
            <w:pPr>
              <w:widowControl w:val="0"/>
              <w:spacing w:after="0" w:line="240" w:lineRule="auto"/>
              <w:ind w:left="113" w:right="113" w:firstLine="161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2B29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1.4. </w:t>
            </w:r>
            <w:proofErr w:type="spellStart"/>
            <w:proofErr w:type="gramStart"/>
            <w:r w:rsidRPr="002B29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Машино-место</w:t>
            </w:r>
            <w:proofErr w:type="spellEnd"/>
            <w:proofErr w:type="gramEnd"/>
            <w:r w:rsidRPr="002B29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  <w:p w:rsidR="007713DB" w:rsidRPr="008A398D" w:rsidRDefault="007713DB" w:rsidP="008F5F45">
            <w:pPr>
              <w:widowControl w:val="0"/>
              <w:spacing w:after="0" w:line="240" w:lineRule="auto"/>
              <w:ind w:left="113" w:right="113" w:firstLine="161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8A398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1.5. 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  <w:p w:rsidR="008F5F45" w:rsidRPr="002B295F" w:rsidRDefault="008F5F45" w:rsidP="008F5F45">
            <w:pPr>
              <w:widowControl w:val="0"/>
              <w:spacing w:after="0" w:line="-3656" w:lineRule="auto"/>
              <w:ind w:left="113" w:right="113" w:firstLine="161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2B29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1.5. 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13DB" w:rsidRPr="002B295F" w:rsidRDefault="008A398D" w:rsidP="007713DB">
            <w:pPr>
              <w:widowControl w:val="0"/>
              <w:spacing w:after="0" w:line="-3656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0,3</w:t>
            </w:r>
          </w:p>
        </w:tc>
      </w:tr>
      <w:tr w:rsidR="008F5F45" w:rsidRPr="002B295F" w:rsidTr="007713DB">
        <w:trPr>
          <w:trHeight w:hRule="exact" w:val="69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5F45" w:rsidRPr="002B295F" w:rsidRDefault="008F5F45" w:rsidP="008F5F45">
            <w:pPr>
              <w:widowControl w:val="0"/>
              <w:spacing w:after="0" w:line="210" w:lineRule="exact"/>
              <w:ind w:right="132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8F5F45" w:rsidRPr="002B295F" w:rsidRDefault="008F5F45" w:rsidP="008F5F45">
            <w:pPr>
              <w:widowControl w:val="0"/>
              <w:spacing w:after="0" w:line="210" w:lineRule="exact"/>
              <w:ind w:right="132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2B29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5F45" w:rsidRPr="002B295F" w:rsidRDefault="008F5F45" w:rsidP="007713DB">
            <w:pPr>
              <w:widowControl w:val="0"/>
              <w:spacing w:after="0" w:line="240" w:lineRule="auto"/>
              <w:ind w:left="113" w:right="113" w:firstLine="159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2B29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2.1. Жилое помещение (квартира, комната).</w:t>
            </w:r>
          </w:p>
          <w:p w:rsidR="008F5F45" w:rsidRPr="002B295F" w:rsidRDefault="008F5F45" w:rsidP="007713DB">
            <w:pPr>
              <w:widowControl w:val="0"/>
              <w:spacing w:after="0" w:line="240" w:lineRule="auto"/>
              <w:ind w:left="113" w:right="113" w:firstLine="159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2B295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2.2. Гараж.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5F45" w:rsidRPr="002B295F" w:rsidRDefault="008A398D" w:rsidP="008F5F45">
            <w:pPr>
              <w:widowControl w:val="0"/>
              <w:spacing w:after="0" w:line="-703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0,1</w:t>
            </w:r>
          </w:p>
        </w:tc>
      </w:tr>
      <w:tr w:rsidR="008F5F45" w:rsidRPr="002B295F" w:rsidTr="007713DB">
        <w:trPr>
          <w:trHeight w:hRule="exact" w:val="33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5F45" w:rsidRPr="002B295F" w:rsidRDefault="008F5F45" w:rsidP="008F5F45">
            <w:pPr>
              <w:widowControl w:val="0"/>
              <w:spacing w:after="0" w:line="254" w:lineRule="exact"/>
              <w:ind w:right="132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2B29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5F45" w:rsidRPr="002B295F" w:rsidRDefault="008F5F45" w:rsidP="008F5F45">
            <w:pPr>
              <w:widowControl w:val="0"/>
              <w:spacing w:after="0" w:line="240" w:lineRule="auto"/>
              <w:ind w:left="113" w:right="113" w:firstLine="161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2B29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3.1. Объекты недвижимого имущества, включенные в перечень, определяемый в соответствии с пунктом 7 статьи 378.2 Налогового кодекса РФ.</w:t>
            </w:r>
          </w:p>
          <w:p w:rsidR="008F5F45" w:rsidRPr="002B295F" w:rsidRDefault="008F5F45" w:rsidP="008F5F45">
            <w:pPr>
              <w:widowControl w:val="0"/>
              <w:spacing w:after="0" w:line="240" w:lineRule="auto"/>
              <w:ind w:left="113" w:right="113" w:firstLine="161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2B29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3.2. Объекты недвижимого имущества, предусмотренные абзацем вторым пункта 10 статьи 378.2 Налогового кодекса РФ.</w:t>
            </w:r>
          </w:p>
          <w:p w:rsidR="008F5F45" w:rsidRPr="002B295F" w:rsidRDefault="008F5F45" w:rsidP="008F5F45">
            <w:pPr>
              <w:widowControl w:val="0"/>
              <w:spacing w:after="0" w:line="240" w:lineRule="auto"/>
              <w:ind w:left="113" w:right="113" w:firstLine="161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2B29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3.3. Объекты недвижимого имущества, кадастровая стоимость каждого из которых превышает 300 миллионов рублей.</w:t>
            </w:r>
          </w:p>
          <w:p w:rsidR="008F5F45" w:rsidRPr="002B295F" w:rsidRDefault="008F5F45" w:rsidP="008F5F45">
            <w:pPr>
              <w:widowControl w:val="0"/>
              <w:spacing w:after="0" w:line="240" w:lineRule="auto"/>
              <w:ind w:left="113" w:right="113" w:firstLine="161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2B29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3.4. Иные здания, сооружения, помещения.</w:t>
            </w:r>
          </w:p>
          <w:p w:rsidR="008F5F45" w:rsidRPr="002B295F" w:rsidRDefault="008F5F45" w:rsidP="008F5F45">
            <w:pPr>
              <w:widowControl w:val="0"/>
              <w:spacing w:after="0" w:line="240" w:lineRule="auto"/>
              <w:ind w:left="113" w:right="113" w:firstLine="161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8F5F45" w:rsidRPr="002B295F" w:rsidRDefault="008F5F45" w:rsidP="008F5F45">
            <w:pPr>
              <w:widowControl w:val="0"/>
              <w:spacing w:after="0" w:line="-2414" w:lineRule="auto"/>
              <w:ind w:left="113" w:right="113" w:firstLine="161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F45" w:rsidRPr="002B295F" w:rsidRDefault="008A398D" w:rsidP="008F5F45">
            <w:pPr>
              <w:widowControl w:val="0"/>
              <w:spacing w:after="0" w:line="-2414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0,5</w:t>
            </w:r>
          </w:p>
        </w:tc>
      </w:tr>
    </w:tbl>
    <w:p w:rsidR="00B11201" w:rsidRPr="002B295F" w:rsidRDefault="00B11201">
      <w:pPr>
        <w:rPr>
          <w:rFonts w:ascii="Times New Roman" w:hAnsi="Times New Roman" w:cs="Times New Roman"/>
          <w:sz w:val="28"/>
          <w:szCs w:val="28"/>
        </w:rPr>
      </w:pPr>
    </w:p>
    <w:sectPr w:rsidR="00B11201" w:rsidRPr="002B295F" w:rsidSect="00B1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F7390"/>
    <w:multiLevelType w:val="hybridMultilevel"/>
    <w:tmpl w:val="BBE01836"/>
    <w:lvl w:ilvl="0" w:tplc="2C145B72">
      <w:start w:val="1"/>
      <w:numFmt w:val="decimal"/>
      <w:lvlText w:val="%1.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F45"/>
    <w:rsid w:val="000001F7"/>
    <w:rsid w:val="000126CA"/>
    <w:rsid w:val="000129A7"/>
    <w:rsid w:val="000218A2"/>
    <w:rsid w:val="00022D3B"/>
    <w:rsid w:val="000248A0"/>
    <w:rsid w:val="0002578B"/>
    <w:rsid w:val="00035437"/>
    <w:rsid w:val="00041D35"/>
    <w:rsid w:val="000514D2"/>
    <w:rsid w:val="00051F41"/>
    <w:rsid w:val="0005224A"/>
    <w:rsid w:val="00060528"/>
    <w:rsid w:val="000724B8"/>
    <w:rsid w:val="00077484"/>
    <w:rsid w:val="00077A27"/>
    <w:rsid w:val="000811BC"/>
    <w:rsid w:val="00086624"/>
    <w:rsid w:val="00093E11"/>
    <w:rsid w:val="00094941"/>
    <w:rsid w:val="000A0EB1"/>
    <w:rsid w:val="000B43B4"/>
    <w:rsid w:val="000D01E2"/>
    <w:rsid w:val="000E162E"/>
    <w:rsid w:val="000F384A"/>
    <w:rsid w:val="00101DE5"/>
    <w:rsid w:val="00103288"/>
    <w:rsid w:val="001265DE"/>
    <w:rsid w:val="001277F5"/>
    <w:rsid w:val="001420B2"/>
    <w:rsid w:val="00152634"/>
    <w:rsid w:val="001549DB"/>
    <w:rsid w:val="001771D5"/>
    <w:rsid w:val="001A163E"/>
    <w:rsid w:val="001C13DF"/>
    <w:rsid w:val="001C2B00"/>
    <w:rsid w:val="001C3911"/>
    <w:rsid w:val="001E39D2"/>
    <w:rsid w:val="001E58E2"/>
    <w:rsid w:val="001E65CE"/>
    <w:rsid w:val="001F5AC4"/>
    <w:rsid w:val="002020FA"/>
    <w:rsid w:val="00204784"/>
    <w:rsid w:val="00205800"/>
    <w:rsid w:val="00232F81"/>
    <w:rsid w:val="0024130E"/>
    <w:rsid w:val="00247D9F"/>
    <w:rsid w:val="002521C0"/>
    <w:rsid w:val="0026442D"/>
    <w:rsid w:val="00274476"/>
    <w:rsid w:val="00277737"/>
    <w:rsid w:val="002852B4"/>
    <w:rsid w:val="00287ED4"/>
    <w:rsid w:val="002954F7"/>
    <w:rsid w:val="00296E8C"/>
    <w:rsid w:val="002B295F"/>
    <w:rsid w:val="002B5A01"/>
    <w:rsid w:val="002D06E0"/>
    <w:rsid w:val="002E0D82"/>
    <w:rsid w:val="002E49D6"/>
    <w:rsid w:val="00314267"/>
    <w:rsid w:val="00324AF3"/>
    <w:rsid w:val="00326540"/>
    <w:rsid w:val="003269A2"/>
    <w:rsid w:val="00326BB4"/>
    <w:rsid w:val="00331827"/>
    <w:rsid w:val="00340B55"/>
    <w:rsid w:val="00344BBA"/>
    <w:rsid w:val="00345333"/>
    <w:rsid w:val="00366930"/>
    <w:rsid w:val="00372173"/>
    <w:rsid w:val="00374F00"/>
    <w:rsid w:val="00375995"/>
    <w:rsid w:val="003B1461"/>
    <w:rsid w:val="003D0C66"/>
    <w:rsid w:val="003D1F57"/>
    <w:rsid w:val="003E2D95"/>
    <w:rsid w:val="004051DC"/>
    <w:rsid w:val="004253F5"/>
    <w:rsid w:val="00434716"/>
    <w:rsid w:val="00436CAE"/>
    <w:rsid w:val="004434A7"/>
    <w:rsid w:val="00447027"/>
    <w:rsid w:val="00457354"/>
    <w:rsid w:val="004806EF"/>
    <w:rsid w:val="004819D8"/>
    <w:rsid w:val="0048242C"/>
    <w:rsid w:val="00484AA9"/>
    <w:rsid w:val="004A1E00"/>
    <w:rsid w:val="004A6A6C"/>
    <w:rsid w:val="004B5FBD"/>
    <w:rsid w:val="004C1064"/>
    <w:rsid w:val="004C4B14"/>
    <w:rsid w:val="004D3F8D"/>
    <w:rsid w:val="004E125F"/>
    <w:rsid w:val="004E7744"/>
    <w:rsid w:val="004F49F6"/>
    <w:rsid w:val="00503C83"/>
    <w:rsid w:val="00504BDA"/>
    <w:rsid w:val="00521315"/>
    <w:rsid w:val="00526CD1"/>
    <w:rsid w:val="00531FA4"/>
    <w:rsid w:val="00553845"/>
    <w:rsid w:val="00564AC0"/>
    <w:rsid w:val="00583481"/>
    <w:rsid w:val="005837C7"/>
    <w:rsid w:val="00596329"/>
    <w:rsid w:val="005B4DA0"/>
    <w:rsid w:val="005C1AAE"/>
    <w:rsid w:val="005C6B92"/>
    <w:rsid w:val="005D198B"/>
    <w:rsid w:val="005D2CFC"/>
    <w:rsid w:val="005D3025"/>
    <w:rsid w:val="005D67CC"/>
    <w:rsid w:val="005E2B59"/>
    <w:rsid w:val="005F09DD"/>
    <w:rsid w:val="0060096C"/>
    <w:rsid w:val="00601778"/>
    <w:rsid w:val="00605406"/>
    <w:rsid w:val="00610CD9"/>
    <w:rsid w:val="00612990"/>
    <w:rsid w:val="006133AE"/>
    <w:rsid w:val="00633470"/>
    <w:rsid w:val="00634C3C"/>
    <w:rsid w:val="00647F88"/>
    <w:rsid w:val="006615DE"/>
    <w:rsid w:val="0067158E"/>
    <w:rsid w:val="006771F4"/>
    <w:rsid w:val="00686107"/>
    <w:rsid w:val="006905AA"/>
    <w:rsid w:val="006975F7"/>
    <w:rsid w:val="006A7FE3"/>
    <w:rsid w:val="006B3A56"/>
    <w:rsid w:val="006C4B89"/>
    <w:rsid w:val="006D1DBA"/>
    <w:rsid w:val="006E280E"/>
    <w:rsid w:val="006E6B4E"/>
    <w:rsid w:val="006E702D"/>
    <w:rsid w:val="00727812"/>
    <w:rsid w:val="00741827"/>
    <w:rsid w:val="00743147"/>
    <w:rsid w:val="00755B83"/>
    <w:rsid w:val="00755CFC"/>
    <w:rsid w:val="00762B7A"/>
    <w:rsid w:val="00766552"/>
    <w:rsid w:val="007713DB"/>
    <w:rsid w:val="00782516"/>
    <w:rsid w:val="007A1001"/>
    <w:rsid w:val="007A591D"/>
    <w:rsid w:val="007A6CB5"/>
    <w:rsid w:val="007B0BE3"/>
    <w:rsid w:val="007E091F"/>
    <w:rsid w:val="007E166B"/>
    <w:rsid w:val="007E2168"/>
    <w:rsid w:val="007F1F0A"/>
    <w:rsid w:val="00801051"/>
    <w:rsid w:val="00801624"/>
    <w:rsid w:val="00805009"/>
    <w:rsid w:val="00810D6A"/>
    <w:rsid w:val="00820942"/>
    <w:rsid w:val="00823F42"/>
    <w:rsid w:val="00825937"/>
    <w:rsid w:val="008277F3"/>
    <w:rsid w:val="00833887"/>
    <w:rsid w:val="0083533E"/>
    <w:rsid w:val="00851287"/>
    <w:rsid w:val="00861450"/>
    <w:rsid w:val="0087167E"/>
    <w:rsid w:val="00890F92"/>
    <w:rsid w:val="00893371"/>
    <w:rsid w:val="00894E80"/>
    <w:rsid w:val="00896585"/>
    <w:rsid w:val="00897C94"/>
    <w:rsid w:val="008A398D"/>
    <w:rsid w:val="008B452A"/>
    <w:rsid w:val="008B589A"/>
    <w:rsid w:val="008D2F85"/>
    <w:rsid w:val="008D677D"/>
    <w:rsid w:val="008E0355"/>
    <w:rsid w:val="008F5F45"/>
    <w:rsid w:val="009239AE"/>
    <w:rsid w:val="00926432"/>
    <w:rsid w:val="009318B8"/>
    <w:rsid w:val="009578DC"/>
    <w:rsid w:val="0096730E"/>
    <w:rsid w:val="00967945"/>
    <w:rsid w:val="0097126B"/>
    <w:rsid w:val="00973C3C"/>
    <w:rsid w:val="00982A11"/>
    <w:rsid w:val="00997005"/>
    <w:rsid w:val="009B223E"/>
    <w:rsid w:val="009B4168"/>
    <w:rsid w:val="009B4F7B"/>
    <w:rsid w:val="009E40C8"/>
    <w:rsid w:val="00A134B7"/>
    <w:rsid w:val="00A22E66"/>
    <w:rsid w:val="00A23BC8"/>
    <w:rsid w:val="00A255AB"/>
    <w:rsid w:val="00A30BBA"/>
    <w:rsid w:val="00A5281F"/>
    <w:rsid w:val="00A54253"/>
    <w:rsid w:val="00A669F6"/>
    <w:rsid w:val="00A85133"/>
    <w:rsid w:val="00AB110D"/>
    <w:rsid w:val="00AE0668"/>
    <w:rsid w:val="00AE3A8A"/>
    <w:rsid w:val="00AF31AD"/>
    <w:rsid w:val="00B02166"/>
    <w:rsid w:val="00B11201"/>
    <w:rsid w:val="00B20C22"/>
    <w:rsid w:val="00B22C03"/>
    <w:rsid w:val="00B27716"/>
    <w:rsid w:val="00B36C26"/>
    <w:rsid w:val="00B3725F"/>
    <w:rsid w:val="00B37D77"/>
    <w:rsid w:val="00B438B7"/>
    <w:rsid w:val="00B662FC"/>
    <w:rsid w:val="00B67757"/>
    <w:rsid w:val="00B80E79"/>
    <w:rsid w:val="00B83162"/>
    <w:rsid w:val="00B8792B"/>
    <w:rsid w:val="00B93E17"/>
    <w:rsid w:val="00B9730F"/>
    <w:rsid w:val="00BA078C"/>
    <w:rsid w:val="00BA24AE"/>
    <w:rsid w:val="00BA26E8"/>
    <w:rsid w:val="00BA7A22"/>
    <w:rsid w:val="00BB0E08"/>
    <w:rsid w:val="00BD2455"/>
    <w:rsid w:val="00BE53CE"/>
    <w:rsid w:val="00BE7A33"/>
    <w:rsid w:val="00BF67BB"/>
    <w:rsid w:val="00C0697C"/>
    <w:rsid w:val="00C15452"/>
    <w:rsid w:val="00C370F9"/>
    <w:rsid w:val="00C51309"/>
    <w:rsid w:val="00C51911"/>
    <w:rsid w:val="00C5435F"/>
    <w:rsid w:val="00C54722"/>
    <w:rsid w:val="00C60A0D"/>
    <w:rsid w:val="00C64DDB"/>
    <w:rsid w:val="00C66AC8"/>
    <w:rsid w:val="00C70B61"/>
    <w:rsid w:val="00C71F7D"/>
    <w:rsid w:val="00C73967"/>
    <w:rsid w:val="00C74140"/>
    <w:rsid w:val="00C758E8"/>
    <w:rsid w:val="00C80B78"/>
    <w:rsid w:val="00C80BAD"/>
    <w:rsid w:val="00C83B45"/>
    <w:rsid w:val="00C8652A"/>
    <w:rsid w:val="00C902D9"/>
    <w:rsid w:val="00C90FDC"/>
    <w:rsid w:val="00C951FF"/>
    <w:rsid w:val="00CA1E20"/>
    <w:rsid w:val="00CA1EF4"/>
    <w:rsid w:val="00CA3CA3"/>
    <w:rsid w:val="00CA594B"/>
    <w:rsid w:val="00CB4AF4"/>
    <w:rsid w:val="00CB59E3"/>
    <w:rsid w:val="00CC3803"/>
    <w:rsid w:val="00CD1BB1"/>
    <w:rsid w:val="00CE1F33"/>
    <w:rsid w:val="00CE7905"/>
    <w:rsid w:val="00CF28AF"/>
    <w:rsid w:val="00D6075C"/>
    <w:rsid w:val="00D628B2"/>
    <w:rsid w:val="00D640CD"/>
    <w:rsid w:val="00D707F1"/>
    <w:rsid w:val="00D74A86"/>
    <w:rsid w:val="00D92D3F"/>
    <w:rsid w:val="00D96FEC"/>
    <w:rsid w:val="00DA1613"/>
    <w:rsid w:val="00DB1800"/>
    <w:rsid w:val="00DC2E9C"/>
    <w:rsid w:val="00DC3EB9"/>
    <w:rsid w:val="00DC650D"/>
    <w:rsid w:val="00DD2E85"/>
    <w:rsid w:val="00DD43FF"/>
    <w:rsid w:val="00DE036C"/>
    <w:rsid w:val="00DF110D"/>
    <w:rsid w:val="00DF1A2B"/>
    <w:rsid w:val="00E33E58"/>
    <w:rsid w:val="00E5693A"/>
    <w:rsid w:val="00E5773C"/>
    <w:rsid w:val="00E6174D"/>
    <w:rsid w:val="00E62186"/>
    <w:rsid w:val="00E627A3"/>
    <w:rsid w:val="00E67DD3"/>
    <w:rsid w:val="00E74597"/>
    <w:rsid w:val="00E74A6F"/>
    <w:rsid w:val="00E920E8"/>
    <w:rsid w:val="00EE4B82"/>
    <w:rsid w:val="00EE715C"/>
    <w:rsid w:val="00F112E5"/>
    <w:rsid w:val="00F21ECA"/>
    <w:rsid w:val="00F37195"/>
    <w:rsid w:val="00F45916"/>
    <w:rsid w:val="00F464C0"/>
    <w:rsid w:val="00F46C6A"/>
    <w:rsid w:val="00F521C5"/>
    <w:rsid w:val="00F545EA"/>
    <w:rsid w:val="00F72987"/>
    <w:rsid w:val="00F73BFB"/>
    <w:rsid w:val="00F83417"/>
    <w:rsid w:val="00F91DCA"/>
    <w:rsid w:val="00F93122"/>
    <w:rsid w:val="00F9780F"/>
    <w:rsid w:val="00FA436B"/>
    <w:rsid w:val="00FB464D"/>
    <w:rsid w:val="00FC181A"/>
    <w:rsid w:val="00FD5830"/>
    <w:rsid w:val="00FD69BD"/>
    <w:rsid w:val="00FE6225"/>
    <w:rsid w:val="00FF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5F45"/>
    <w:rPr>
      <w:color w:val="0000FF"/>
      <w:u w:val="single"/>
    </w:rPr>
  </w:style>
  <w:style w:type="paragraph" w:styleId="a4">
    <w:name w:val="No Spacing"/>
    <w:uiPriority w:val="1"/>
    <w:qFormat/>
    <w:rsid w:val="008F5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8F5F45"/>
    <w:rPr>
      <w:rFonts w:ascii="Times New Roman" w:eastAsia="Times New Roman" w:hAnsi="Times New Roman" w:cs="Times New Roman"/>
      <w:b/>
      <w:bCs/>
      <w:spacing w:val="1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5F45"/>
    <w:pPr>
      <w:widowControl w:val="0"/>
      <w:shd w:val="clear" w:color="auto" w:fill="FFFFFF"/>
      <w:spacing w:after="420" w:line="288" w:lineRule="exact"/>
      <w:jc w:val="center"/>
    </w:pPr>
    <w:rPr>
      <w:rFonts w:ascii="Times New Roman" w:eastAsia="Times New Roman" w:hAnsi="Times New Roman" w:cs="Times New Roman"/>
      <w:b/>
      <w:bCs/>
      <w:spacing w:val="1"/>
      <w:sz w:val="23"/>
      <w:szCs w:val="23"/>
    </w:rPr>
  </w:style>
  <w:style w:type="character" w:customStyle="1" w:styleId="a5">
    <w:name w:val="Основной текст_"/>
    <w:link w:val="3"/>
    <w:locked/>
    <w:rsid w:val="008F5F45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8F5F45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customStyle="1" w:styleId="s1">
    <w:name w:val="s_1"/>
    <w:basedOn w:val="a"/>
    <w:rsid w:val="008F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2"/>
    <w:rsid w:val="008F5F4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85817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46F8C-96B7-48CC-8E01-F244CEBC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sBundukov</dc:creator>
  <cp:keywords/>
  <dc:description/>
  <cp:lastModifiedBy>mail-misp</cp:lastModifiedBy>
  <cp:revision>9</cp:revision>
  <dcterms:created xsi:type="dcterms:W3CDTF">2016-11-08T06:26:00Z</dcterms:created>
  <dcterms:modified xsi:type="dcterms:W3CDTF">2016-11-16T12:46:00Z</dcterms:modified>
</cp:coreProperties>
</file>