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1B" w:rsidRDefault="0046722C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</w:t>
      </w:r>
      <w:r w:rsidR="00DF251B">
        <w:rPr>
          <w:rFonts w:ascii="Times New Roman" w:hAnsi="Times New Roman"/>
          <w:b/>
          <w:sz w:val="24"/>
          <w:szCs w:val="24"/>
        </w:rPr>
        <w:t>РАЦИЯ</w:t>
      </w:r>
    </w:p>
    <w:p w:rsidR="00DF251B" w:rsidRDefault="00DF251B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5ABB">
        <w:rPr>
          <w:rFonts w:ascii="Times New Roman" w:hAnsi="Times New Roman"/>
          <w:b/>
          <w:sz w:val="24"/>
          <w:szCs w:val="24"/>
        </w:rPr>
        <w:t>ВЕРЕТЬЕВСКОГО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F251B" w:rsidRDefault="00DF251B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DF251B" w:rsidRDefault="00DF251B" w:rsidP="00DF251B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DF251B" w:rsidRDefault="00DF251B" w:rsidP="00DF251B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DF251B" w:rsidRDefault="00E15ABB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29 сентября 2017г.       № 56</w:t>
      </w:r>
      <w:r w:rsidR="00DF251B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DF251B" w:rsidRDefault="00E15ABB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.В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еретье</w:t>
      </w:r>
      <w:proofErr w:type="spellEnd"/>
    </w:p>
    <w:p w:rsidR="00DF251B" w:rsidRDefault="00DF251B" w:rsidP="00DF251B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F251B" w:rsidRDefault="00DF251B" w:rsidP="00DF251B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BA5875">
        <w:rPr>
          <w:rFonts w:ascii="Times New Roman" w:hAnsi="Times New Roman"/>
          <w:b/>
          <w:sz w:val="24"/>
          <w:szCs w:val="24"/>
        </w:rPr>
        <w:t>«Прием заявлений и выдача документов о согласовании переустройства и (или) пер</w:t>
      </w:r>
      <w:r w:rsidRPr="00BA5875">
        <w:rPr>
          <w:rFonts w:ascii="Times New Roman" w:hAnsi="Times New Roman"/>
          <w:b/>
          <w:sz w:val="24"/>
          <w:szCs w:val="24"/>
        </w:rPr>
        <w:t>е</w:t>
      </w:r>
      <w:r w:rsidRPr="00BA5875">
        <w:rPr>
          <w:rFonts w:ascii="Times New Roman" w:hAnsi="Times New Roman"/>
          <w:b/>
          <w:sz w:val="24"/>
          <w:szCs w:val="24"/>
        </w:rPr>
        <w:t>планировки жилого помещения»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E15ABB">
        <w:rPr>
          <w:rFonts w:ascii="Times New Roman" w:hAnsi="Times New Roman"/>
          <w:sz w:val="24"/>
          <w:szCs w:val="24"/>
        </w:rPr>
        <w:t>Верет</w:t>
      </w:r>
      <w:r w:rsidR="00E15ABB">
        <w:rPr>
          <w:rFonts w:ascii="Times New Roman" w:hAnsi="Times New Roman"/>
          <w:sz w:val="24"/>
          <w:szCs w:val="24"/>
        </w:rPr>
        <w:t>ь</w:t>
      </w:r>
      <w:r w:rsidR="00E15ABB">
        <w:rPr>
          <w:rFonts w:ascii="Times New Roman" w:hAnsi="Times New Roman"/>
          <w:sz w:val="24"/>
          <w:szCs w:val="24"/>
        </w:rPr>
        <w:t>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Pr="00BA5875" w:rsidRDefault="00DF251B" w:rsidP="00DF251B">
      <w:p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BA5875">
        <w:rPr>
          <w:rFonts w:ascii="Times New Roman" w:hAnsi="Times New Roman"/>
          <w:sz w:val="24"/>
          <w:szCs w:val="24"/>
        </w:rPr>
        <w:t>1.</w:t>
      </w:r>
      <w:r w:rsidRPr="00BA5875">
        <w:rPr>
          <w:rFonts w:ascii="Times New Roman" w:hAnsi="Times New Roman"/>
          <w:b/>
          <w:sz w:val="24"/>
          <w:szCs w:val="24"/>
        </w:rPr>
        <w:t xml:space="preserve"> </w:t>
      </w:r>
      <w:r w:rsidRPr="00BA5875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«Прием з</w:t>
      </w:r>
      <w:r w:rsidRPr="00BA5875">
        <w:rPr>
          <w:rFonts w:ascii="Times New Roman" w:hAnsi="Times New Roman"/>
          <w:sz w:val="24"/>
          <w:szCs w:val="24"/>
        </w:rPr>
        <w:t>а</w:t>
      </w:r>
      <w:r w:rsidRPr="00BA5875">
        <w:rPr>
          <w:rFonts w:ascii="Times New Roman" w:hAnsi="Times New Roman"/>
          <w:sz w:val="24"/>
          <w:szCs w:val="24"/>
        </w:rPr>
        <w:t>явлений и выдача документов о согласовании переустройства и (или) перепланировки жилого помещения»</w:t>
      </w:r>
      <w:r w:rsidRPr="00BA5875">
        <w:rPr>
          <w:rFonts w:ascii="Arial" w:hAnsi="Arial" w:cs="Arial"/>
          <w:sz w:val="24"/>
          <w:szCs w:val="24"/>
        </w:rPr>
        <w:t xml:space="preserve"> </w:t>
      </w:r>
      <w:r w:rsidRPr="00BA5875">
        <w:rPr>
          <w:rFonts w:ascii="Times New Roman" w:hAnsi="Times New Roman"/>
          <w:sz w:val="24"/>
          <w:szCs w:val="24"/>
        </w:rPr>
        <w:t>согласно приложению.</w:t>
      </w:r>
    </w:p>
    <w:p w:rsidR="00DF251B" w:rsidRDefault="00DF251B" w:rsidP="00DF251B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E15ABB">
      <w:pPr>
        <w:rPr>
          <w:rFonts w:ascii="Times New Roman" w:hAnsi="Times New Roman"/>
          <w:sz w:val="24"/>
          <w:szCs w:val="24"/>
        </w:rPr>
        <w:sectPr w:rsidR="00DF251B">
          <w:pgSz w:w="11906" w:h="16838"/>
          <w:pgMar w:top="1134" w:right="851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15ABB">
        <w:rPr>
          <w:rFonts w:ascii="Times New Roman" w:hAnsi="Times New Roman"/>
          <w:sz w:val="24"/>
          <w:szCs w:val="24"/>
        </w:rPr>
        <w:t>Веретьевского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          </w:t>
      </w:r>
      <w:r w:rsidR="00E15ABB">
        <w:rPr>
          <w:rFonts w:ascii="Times New Roman" w:hAnsi="Times New Roman"/>
          <w:sz w:val="24"/>
          <w:szCs w:val="24"/>
        </w:rPr>
        <w:t xml:space="preserve">                    О.Н. </w:t>
      </w:r>
      <w:proofErr w:type="spellStart"/>
      <w:r w:rsidR="00E15ABB">
        <w:rPr>
          <w:rFonts w:ascii="Times New Roman" w:hAnsi="Times New Roman"/>
          <w:sz w:val="24"/>
          <w:szCs w:val="24"/>
        </w:rPr>
        <w:t>Торубарова</w:t>
      </w:r>
      <w:proofErr w:type="spellEnd"/>
    </w:p>
    <w:p w:rsidR="00DF251B" w:rsidRDefault="00DF251B" w:rsidP="00DF25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</w:t>
      </w:r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DF251B" w:rsidRDefault="00E15AB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Веретьевского</w:t>
      </w:r>
      <w:proofErr w:type="spellEnd"/>
      <w:r w:rsidR="00DF25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251B" w:rsidRDefault="00E15AB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29.09.2017 № 56</w:t>
      </w:r>
      <w:r w:rsidR="00DF251B">
        <w:rPr>
          <w:rFonts w:ascii="Times New Roman" w:hAnsi="Times New Roman"/>
          <w:sz w:val="24"/>
          <w:szCs w:val="24"/>
        </w:rPr>
        <w:t>-р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</w:t>
            </w:r>
            <w:r w:rsidR="00E15ABB">
              <w:rPr>
                <w:rFonts w:ascii="Times New Roman" w:hAnsi="Times New Roman"/>
              </w:rPr>
              <w:t xml:space="preserve">рация </w:t>
            </w:r>
            <w:proofErr w:type="spellStart"/>
            <w:r w:rsidR="00E15ABB">
              <w:rPr>
                <w:rFonts w:ascii="Times New Roman" w:hAnsi="Times New Roman"/>
              </w:rPr>
              <w:t>Веретьевского</w:t>
            </w:r>
            <w:proofErr w:type="spellEnd"/>
            <w:r w:rsidR="00E15ABB"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E15ABB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3600000000161905341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BA5875">
        <w:trPr>
          <w:trHeight w:val="1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BA5875" w:rsidRDefault="00BA5875" w:rsidP="00BA5875">
            <w:pPr>
              <w:jc w:val="both"/>
              <w:rPr>
                <w:rFonts w:ascii="Arial" w:hAnsi="Arial" w:cs="Arial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от </w:t>
            </w:r>
            <w:r w:rsidR="00E15ABB">
              <w:rPr>
                <w:rFonts w:ascii="Times New Roman" w:hAnsi="Times New Roman"/>
              </w:rPr>
              <w:t>14.09.2017 г. № 41</w:t>
            </w:r>
            <w:bookmarkStart w:id="1" w:name="_GoBack"/>
            <w:bookmarkEnd w:id="1"/>
            <w:r w:rsidRPr="00BA5875">
              <w:rPr>
                <w:rFonts w:ascii="Times New Roman" w:hAnsi="Times New Roman"/>
              </w:rPr>
              <w:t xml:space="preserve"> «Об утверждении административного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регламента а</w:t>
            </w:r>
            <w:r w:rsidRPr="00BA5875">
              <w:rPr>
                <w:rFonts w:ascii="Times New Roman" w:hAnsi="Times New Roman"/>
              </w:rPr>
              <w:t>д</w:t>
            </w:r>
            <w:r w:rsidRPr="00BA5875">
              <w:rPr>
                <w:rFonts w:ascii="Times New Roman" w:hAnsi="Times New Roman"/>
              </w:rPr>
              <w:t xml:space="preserve">министрации </w:t>
            </w:r>
            <w:proofErr w:type="spellStart"/>
            <w:r w:rsidR="00E15ABB">
              <w:rPr>
                <w:rFonts w:ascii="Times New Roman" w:hAnsi="Times New Roman"/>
              </w:rPr>
              <w:t>Веретьевского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сельского поселения Острогожского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муниципального района Воронежской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области по предоставлению муниципальной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услуги «Прием заявлений и в</w:t>
            </w:r>
            <w:r w:rsidRPr="00BA5875">
              <w:rPr>
                <w:rFonts w:ascii="Times New Roman" w:hAnsi="Times New Roman"/>
              </w:rPr>
              <w:t>ы</w:t>
            </w:r>
            <w:r w:rsidRPr="00BA5875">
              <w:rPr>
                <w:rFonts w:ascii="Times New Roman" w:hAnsi="Times New Roman"/>
              </w:rPr>
              <w:t>дача документов о согласовании переустройства и (или) перепланировки жилого помещ</w:t>
            </w:r>
            <w:r w:rsidRPr="00BA5875">
              <w:rPr>
                <w:rFonts w:ascii="Times New Roman" w:hAnsi="Times New Roman"/>
              </w:rPr>
              <w:t>е</w:t>
            </w:r>
            <w:r w:rsidRPr="00BA5875">
              <w:rPr>
                <w:rFonts w:ascii="Times New Roman" w:hAnsi="Times New Roman"/>
              </w:rPr>
              <w:t>ния»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новл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12030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1203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ствующих членов семьи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щение на основ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предусмотренных настоящим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соответств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</w:t>
            </w:r>
            <w:r w:rsidRPr="00120303">
              <w:rPr>
                <w:rFonts w:ascii="Times New Roman" w:hAnsi="Times New Roman"/>
              </w:rPr>
              <w:lastRenderedPageBreak/>
              <w:t>перепланировки жилого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</w:t>
            </w:r>
            <w:r w:rsidRPr="000A0715">
              <w:rPr>
                <w:rFonts w:ascii="Times New Roman" w:hAnsi="Times New Roman"/>
              </w:rPr>
              <w:t>д</w:t>
            </w:r>
            <w:r w:rsidRPr="000A0715">
              <w:rPr>
                <w:rFonts w:ascii="Times New Roman" w:hAnsi="Times New Roman"/>
              </w:rPr>
              <w:t>ством по</w:t>
            </w:r>
            <w:r w:rsidRPr="000A0715">
              <w:rPr>
                <w:rFonts w:ascii="Times New Roman" w:hAnsi="Times New Roman"/>
              </w:rPr>
              <w:t>ч</w:t>
            </w:r>
            <w:r w:rsidRPr="000A0715">
              <w:rPr>
                <w:rFonts w:ascii="Times New Roman" w:hAnsi="Times New Roman"/>
              </w:rPr>
              <w:t>товой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го</w:t>
            </w:r>
            <w:r w:rsidRPr="000A0715">
              <w:rPr>
                <w:rFonts w:ascii="Times New Roman" w:hAnsi="Times New Roman"/>
              </w:rPr>
              <w:t>с</w:t>
            </w:r>
            <w:r w:rsidRPr="000A0715">
              <w:rPr>
                <w:rFonts w:ascii="Times New Roman" w:hAnsi="Times New Roman"/>
              </w:rPr>
              <w:t>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ставит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лями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Исчерпыв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пер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9F384F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предусмотрены осно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1276"/>
        <w:gridCol w:w="1985"/>
        <w:gridCol w:w="3543"/>
        <w:gridCol w:w="1418"/>
        <w:gridCol w:w="1559"/>
      </w:tblGrid>
      <w:tr w:rsidR="00DD19AE" w:rsidRPr="00120303" w:rsidTr="003F356D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3827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ство нео</w:t>
            </w:r>
            <w:r w:rsidRPr="00120303">
              <w:rPr>
                <w:rFonts w:ascii="Times New Roman" w:hAnsi="Times New Roman"/>
                <w:b/>
              </w:rPr>
              <w:t>б</w:t>
            </w:r>
            <w:r w:rsidRPr="00120303">
              <w:rPr>
                <w:rFonts w:ascii="Times New Roman" w:hAnsi="Times New Roman"/>
                <w:b/>
              </w:rPr>
              <w:t>ходимых экземпл</w:t>
            </w:r>
            <w:r w:rsidRPr="00120303">
              <w:rPr>
                <w:rFonts w:ascii="Times New Roman" w:hAnsi="Times New Roman"/>
                <w:b/>
              </w:rPr>
              <w:t>я</w:t>
            </w:r>
            <w:r w:rsidRPr="00120303">
              <w:rPr>
                <w:rFonts w:ascii="Times New Roman" w:hAnsi="Times New Roman"/>
                <w:b/>
              </w:rPr>
              <w:t>ров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3F356D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33390F"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3F356D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5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3F356D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lastRenderedPageBreak/>
              <w:t>устана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лива</w:t>
            </w:r>
            <w:r w:rsidRPr="00120303">
              <w:rPr>
                <w:rFonts w:ascii="Times New Roman" w:hAnsi="Times New Roman"/>
              </w:rPr>
              <w:t>ю</w:t>
            </w:r>
            <w:r w:rsidRPr="00120303">
              <w:rPr>
                <w:rFonts w:ascii="Times New Roman" w:hAnsi="Times New Roman"/>
              </w:rPr>
              <w:t>щие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кументы</w:t>
            </w:r>
          </w:p>
        </w:tc>
        <w:tc>
          <w:tcPr>
            <w:tcW w:w="3827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</w:t>
            </w:r>
            <w:r w:rsidRPr="00120303">
              <w:rPr>
                <w:rFonts w:ascii="Times New Roman" w:hAnsi="Times New Roman"/>
              </w:rPr>
              <w:lastRenderedPageBreak/>
              <w:t xml:space="preserve">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276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lastRenderedPageBreak/>
              <w:t>(подли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ники или засвид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985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если указанные </w:t>
            </w:r>
            <w:r w:rsidRPr="00120303">
              <w:rPr>
                <w:rFonts w:ascii="Times New Roman" w:hAnsi="Times New Roman"/>
              </w:rPr>
              <w:lastRenderedPageBreak/>
              <w:t>документы (их копии или свед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ствуют в Едином государственном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 xml:space="preserve">щество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lastRenderedPageBreak/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ных законодательством должнос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3F356D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3827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276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устройству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ке помещений, выдаваемое сам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регулируемыми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3F356D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3827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ле временно отсутствующих членов семьи нанимателя), занимающих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социального найма </w:t>
            </w:r>
          </w:p>
        </w:tc>
        <w:tc>
          <w:tcPr>
            <w:tcW w:w="1276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985" w:type="dxa"/>
          </w:tcPr>
          <w:p w:rsidR="004C02D7" w:rsidRPr="00120303" w:rsidRDefault="004C02D7" w:rsidP="00DB66D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явителем является 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ния по до</w:t>
            </w:r>
            <w:r>
              <w:rPr>
                <w:rFonts w:ascii="Times New Roman" w:hAnsi="Times New Roman"/>
              </w:rPr>
              <w:t>говору социального на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</w:t>
            </w:r>
            <w:r w:rsidRPr="004C02D7">
              <w:rPr>
                <w:rFonts w:ascii="Times New Roman" w:hAnsi="Times New Roman"/>
                <w:b/>
              </w:rPr>
              <w:t>й</w:t>
            </w:r>
            <w:r w:rsidRPr="004C02D7">
              <w:rPr>
                <w:rFonts w:ascii="Times New Roman" w:hAnsi="Times New Roman"/>
                <w:b/>
              </w:rPr>
              <w:t>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направля</w:t>
            </w:r>
            <w:r w:rsidRPr="004C02D7">
              <w:rPr>
                <w:rFonts w:ascii="Times New Roman" w:hAnsi="Times New Roman"/>
                <w:b/>
              </w:rPr>
              <w:t>ю</w:t>
            </w:r>
            <w:r w:rsidRPr="004C02D7">
              <w:rPr>
                <w:rFonts w:ascii="Times New Roman" w:hAnsi="Times New Roman"/>
                <w:b/>
              </w:rPr>
              <w:t>щего (ей)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ществления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информац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онного вза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F61898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естра прав на недв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жимое имущество и сделок с ним о зарег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стрированных правах на объект недвижим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1D3D5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дастра и картогр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7322A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55F56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нему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2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ствий к принятию документов, возвращает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ты, объясняет заявителю содержание выявленных недостатков в представленных документах и предл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гает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 xml:space="preserve">требование документов (сведений)  в рамках </w:t>
            </w:r>
            <w:proofErr w:type="gramStart"/>
            <w:r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gramEnd"/>
            <w:r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го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ударственных органов, о</w:t>
            </w:r>
            <w:r w:rsidR="00BF0BAD"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ганов местного самоупра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ставленном пакете документов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ствующий документ не был представлен заявителем по собственной инициативе, специалист в течение трех рабочих дней со дня получения указанного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направляет заявителю уведомление о получении такого ответа с предложением о представлении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и (или) информации, необходимых для проведения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3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1"/>
            <w:bookmarkEnd w:id="4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9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2"/>
            <w:bookmarkEnd w:id="5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33"/>
            <w:bookmarkEnd w:id="6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44"/>
            <w:bookmarkEnd w:id="7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устройства и (или) перепланировки жилого помещ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8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предоставл</w:t>
            </w:r>
            <w:r w:rsidRPr="00B54710">
              <w:rPr>
                <w:rFonts w:ascii="Times New Roman" w:hAnsi="Times New Roman"/>
                <w:b/>
              </w:rPr>
              <w:t>я</w:t>
            </w:r>
            <w:r w:rsidRPr="00B54710">
              <w:rPr>
                <w:rFonts w:ascii="Times New Roman" w:hAnsi="Times New Roman"/>
                <w:b/>
              </w:rPr>
              <w:t>ющим услугу, з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проса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докуме</w:t>
            </w:r>
            <w:r w:rsidRPr="00B54710">
              <w:rPr>
                <w:rFonts w:ascii="Times New Roman" w:hAnsi="Times New Roman"/>
                <w:b/>
              </w:rPr>
              <w:t>н</w:t>
            </w:r>
            <w:r w:rsidRPr="00B54710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пред</w:t>
            </w:r>
            <w:r w:rsidRPr="00120303">
              <w:rPr>
                <w:rFonts w:ascii="Times New Roman" w:eastAsia="SimSun" w:hAnsi="Times New Roman"/>
              </w:rPr>
              <w:t>о</w:t>
            </w:r>
            <w:r w:rsidRPr="00120303">
              <w:rPr>
                <w:rFonts w:ascii="Times New Roman" w:eastAsia="SimSun" w:hAnsi="Times New Roman"/>
              </w:rPr>
              <w:t>ставление заявит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</w:t>
            </w:r>
            <w:r w:rsidRPr="00120303">
              <w:rPr>
                <w:rFonts w:ascii="Times New Roman" w:eastAsia="SimSun" w:hAnsi="Times New Roman"/>
              </w:rPr>
              <w:t>а</w:t>
            </w:r>
            <w:r w:rsidRPr="00120303">
              <w:rPr>
                <w:rFonts w:ascii="Times New Roman" w:eastAsia="SimSun" w:hAnsi="Times New Roman"/>
              </w:rPr>
              <w:t>явителя.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(…)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</w:pP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6F" w:rsidRDefault="0028566F" w:rsidP="00F847AF">
      <w:pPr>
        <w:spacing w:after="0" w:line="240" w:lineRule="auto"/>
      </w:pPr>
      <w:r>
        <w:separator/>
      </w:r>
    </w:p>
  </w:endnote>
  <w:endnote w:type="continuationSeparator" w:id="0">
    <w:p w:rsidR="0028566F" w:rsidRDefault="0028566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6F" w:rsidRDefault="0028566F" w:rsidP="00F847AF">
      <w:pPr>
        <w:spacing w:after="0" w:line="240" w:lineRule="auto"/>
      </w:pPr>
      <w:r>
        <w:separator/>
      </w:r>
    </w:p>
  </w:footnote>
  <w:footnote w:type="continuationSeparator" w:id="0">
    <w:p w:rsidR="0028566F" w:rsidRDefault="0028566F" w:rsidP="00F847AF">
      <w:pPr>
        <w:spacing w:after="0" w:line="240" w:lineRule="auto"/>
      </w:pPr>
      <w:r>
        <w:continuationSeparator/>
      </w:r>
    </w:p>
  </w:footnote>
  <w:footnote w:id="1">
    <w:p w:rsidR="008701AF" w:rsidRDefault="008701AF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8701AF" w:rsidRDefault="008701AF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8701AF" w:rsidRDefault="008701AF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8701AF" w:rsidRPr="000A0715" w:rsidRDefault="008701AF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8701AF" w:rsidRDefault="008701AF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B54710" w:rsidRDefault="00B54710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951B1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8566F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3F356D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22C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A5875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51B"/>
    <w:rsid w:val="00DF3ED9"/>
    <w:rsid w:val="00E0768E"/>
    <w:rsid w:val="00E14B05"/>
    <w:rsid w:val="00E15ABB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12A3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2FAD-735E-47CF-8F54-6AD42AC9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Uaser</cp:lastModifiedBy>
  <cp:revision>8</cp:revision>
  <dcterms:created xsi:type="dcterms:W3CDTF">2016-11-07T11:32:00Z</dcterms:created>
  <dcterms:modified xsi:type="dcterms:W3CDTF">2017-10-05T07:11:00Z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