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center"/>
      </w:pPr>
      <w:r>
        <w:t xml:space="preserve">СОВЕТ ДЕПУТАТОВ СЕЛЬСКОГО ПОСЕЛЕНИЯ  БОРИНСКИЙ СЕЛЬСОВЕТ    Липецкого </w:t>
      </w:r>
      <w:r>
        <w:t>муниципального района Липецкой области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center"/>
      </w:pPr>
      <w:r>
        <w:t>Шестьдесят третья сессия V созыва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center"/>
      </w:pPr>
      <w:r>
        <w:t xml:space="preserve">05.12.2018 г.                         с. </w:t>
      </w:r>
      <w:proofErr w:type="spellStart"/>
      <w:r>
        <w:t>Боринское</w:t>
      </w:r>
      <w:proofErr w:type="spellEnd"/>
      <w:r>
        <w:t>                         № 345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Arial" w:hAnsi="Arial"/>
          <w:sz w:val="32"/>
        </w:rPr>
        <w:t>Бори</w:t>
      </w:r>
      <w:r>
        <w:rPr>
          <w:rFonts w:ascii="Arial" w:hAnsi="Arial"/>
          <w:sz w:val="32"/>
        </w:rPr>
        <w:t>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 w:firstLine="567"/>
        <w:jc w:val="both"/>
      </w:pPr>
      <w:proofErr w:type="gramStart"/>
      <w:r>
        <w:t xml:space="preserve">Рассмотрев проект о внесении изменений в Правила землепользования и застройки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в соответствии  с </w:t>
      </w:r>
      <w:hyperlink r:id="rId4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 xml:space="preserve">, Федеральным законом </w:t>
      </w:r>
      <w:hyperlink r:id="rId5">
        <w:r>
          <w:rPr>
            <w:rStyle w:val="InternetLink"/>
            <w:color w:val="0000FF"/>
            <w:u w:val="none"/>
          </w:rPr>
          <w:t>от 6 октября 2003 года, № 131-ФЗ</w:t>
        </w:r>
      </w:hyperlink>
      <w:r>
        <w:t xml:space="preserve">"Об общих принципах организации местного самоуправления в Российской Федерации", несоответствие Правил землепользования и застройки сельского поселения </w:t>
      </w:r>
      <w:proofErr w:type="spellStart"/>
      <w:r>
        <w:t>Боринский</w:t>
      </w:r>
      <w:proofErr w:type="spellEnd"/>
      <w:r>
        <w:t xml:space="preserve"> сельсовет Градостроительному кодексу Российской Федерации</w:t>
      </w:r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proofErr w:type="gram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с учетом протокола публичных слушаний, заключения о результатах публичных слушаний, Совет депутатов сельско</w:t>
      </w:r>
      <w:r>
        <w:t xml:space="preserve">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both"/>
      </w:pPr>
      <w:r>
        <w:t>РЕШИЛ: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1.Утвердить внесение изменений в Правила землепользования и застройки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(прилагаются), утвержденных решением сессии Совета депу</w:t>
      </w:r>
      <w:r>
        <w:t xml:space="preserve">татов сельского поселения </w:t>
      </w:r>
      <w:proofErr w:type="spellStart"/>
      <w:r>
        <w:t>Боринский</w:t>
      </w:r>
      <w:proofErr w:type="spellEnd"/>
      <w:r>
        <w:t xml:space="preserve"> сельсовет </w:t>
      </w:r>
      <w:hyperlink r:id="rId7">
        <w:r>
          <w:rPr>
            <w:rStyle w:val="InternetLink"/>
            <w:color w:val="0000FF"/>
            <w:u w:val="none"/>
          </w:rPr>
          <w:t>№323 от 22.06.2018</w:t>
        </w:r>
      </w:hyperlink>
      <w:r>
        <w:t>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2. Направить указанный нормативный правовой акт главе сельского поселения для подписания и о</w:t>
      </w:r>
      <w:r>
        <w:t>фициального опубликования.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3. Информация изменений в Правила землепользования и застройки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размещена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</w:t>
      </w:r>
      <w:r>
        <w:t xml:space="preserve">льсовет: http://borinadm/ru и на сайте Федеральной государственной информационной системы территориального планирования (ФГИС ТП) http://fgis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gov</w:t>
      </w:r>
      <w:proofErr w:type="spellEnd"/>
      <w:r>
        <w:t xml:space="preserve"> </w:t>
      </w:r>
      <w:proofErr w:type="spellStart"/>
      <w:r>
        <w:t>ru</w:t>
      </w:r>
      <w:proofErr w:type="spellEnd"/>
      <w:r>
        <w:t>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4. Настоящее решение вступает в силу со дня его официального опубликования.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both"/>
      </w:pPr>
      <w:r>
        <w:t xml:space="preserve">Председатель Совета </w:t>
      </w:r>
      <w:r>
        <w:t xml:space="preserve">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6A2EDD" w:rsidRDefault="00BA48ED">
      <w:pPr>
        <w:pStyle w:val="a3"/>
        <w:spacing w:after="0"/>
        <w:ind w:left="0" w:right="0"/>
        <w:jc w:val="both"/>
      </w:pPr>
      <w:r>
        <w:t xml:space="preserve">Н.В. </w:t>
      </w:r>
      <w:proofErr w:type="spellStart"/>
      <w:r>
        <w:t>Ярикова</w:t>
      </w:r>
      <w:proofErr w:type="spellEnd"/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/>
        <w:jc w:val="both"/>
      </w:pPr>
      <w:r>
        <w:t>Приложение решению сессии Совета депутатов Липецкого муниципального района Липецкой области №292 от 29.01.2018 г.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ПРОЕКТ ИЗМЕНЕНИЙ</w:t>
      </w:r>
    </w:p>
    <w:p w:rsidR="006A2EDD" w:rsidRDefault="00BA48ED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в Правила землепользования и застройки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 w:firstLine="567"/>
        <w:jc w:val="both"/>
      </w:pPr>
      <w:r>
        <w:t>Статья 1.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Внести в статью 23 Правил землепользования и застройки изменения, в части территориальной зоны Ж-5 - зона малоэтажной блокированной жилой застройки с земельными участками, изло</w:t>
      </w:r>
      <w:r>
        <w:t>жив ее в новой редакции: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 w:firstLine="567"/>
        <w:jc w:val="both"/>
      </w:pPr>
      <w:r>
        <w:t>Ж-5 зона малоэтажной блокированной жилой застройки с земельными участками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Зона Ж-5 выделена для обеспечения правовых условий формирования жилых районов из отдельно стоящих и блокированных индивидуальных жилых домов (коттеджей) с </w:t>
      </w:r>
      <w:r>
        <w:t>минимально разрешенным набором услуг местного значения.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Основные виды разрешенного использования: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Индивидуальные жилые дома (усадебного, </w:t>
      </w:r>
      <w:proofErr w:type="spellStart"/>
      <w:r>
        <w:t>коттеджного</w:t>
      </w:r>
      <w:proofErr w:type="spellEnd"/>
      <w:r>
        <w:t xml:space="preserve"> типа, одноквартирные)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дома культуры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дома блокированные двухквартирные с участками при каждой квартире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для ведения личного подсобного хозяйства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для ведения огородничества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Вспомогательные виды разрешенного использования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блокированные односемейные дома с участками.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пункты оказания первой медицинской помощи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встроенные или отдельно стоящие гаражи, а </w:t>
      </w:r>
      <w:r>
        <w:t xml:space="preserve">также открытые стоянки, но не более чем на 1 транспортное средство на земельный участок, а для жилых домов </w:t>
      </w:r>
      <w:proofErr w:type="spellStart"/>
      <w:r>
        <w:t>коттеджного</w:t>
      </w:r>
      <w:proofErr w:type="spellEnd"/>
      <w:r>
        <w:t xml:space="preserve"> типа - на 2 транспортных средства на 1 земельный участок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сады, огороды, </w:t>
      </w:r>
      <w:proofErr w:type="spellStart"/>
      <w:r>
        <w:t>полисадники</w:t>
      </w:r>
      <w:proofErr w:type="spellEnd"/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объекты пожарной охраны </w:t>
      </w:r>
      <w:proofErr w:type="gramStart"/>
      <w:r>
        <w:t xml:space="preserve">( </w:t>
      </w:r>
      <w:proofErr w:type="gramEnd"/>
      <w:r>
        <w:t xml:space="preserve">гидранты, резервуары и </w:t>
      </w:r>
      <w:r>
        <w:t>т.п.)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индивидуальные резервуары для хранения воды, скважины для забора воды, индивидуальные колодцы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сооружения и устройства сетей инженерно-технического обеспечения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устройства для содержания мелкого домашнего скота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детские площадки, площадки для от</w:t>
      </w:r>
      <w:r>
        <w:t>дыха и спортивных игр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открытые места для стоянки автомобилей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площадки для сбора мусора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хозяйственные постройки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объекты пожарной охраны (гидранты, резервуары, противопожарные водоемы)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Условно разрешенные виды использования: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временные павильоны роз</w:t>
      </w:r>
      <w:r>
        <w:t>ничной торговли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многоквартирные жилые дома 2-4 </w:t>
      </w:r>
      <w:proofErr w:type="spellStart"/>
      <w:r>
        <w:t>эт</w:t>
      </w:r>
      <w:proofErr w:type="spellEnd"/>
      <w:r>
        <w:t>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амбулаторно-поликлинические учреждения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физкультурно-оздоровительные сооружения (бассейны, спортивные залы)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предприятия общественного питания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офисы, конторы организаций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учреждения жилищно-коммун</w:t>
      </w:r>
      <w:r>
        <w:t>ального хозяйства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площадки для выгула собак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религиозные объекты.</w:t>
      </w:r>
    </w:p>
    <w:p w:rsidR="006A2EDD" w:rsidRDefault="006A2EDD">
      <w:pPr>
        <w:pStyle w:val="a3"/>
        <w:spacing w:after="0"/>
        <w:ind w:left="0" w:right="0" w:firstLine="567"/>
        <w:jc w:val="both"/>
      </w:pPr>
    </w:p>
    <w:p w:rsidR="006A2EDD" w:rsidRDefault="00BA48ED">
      <w:pPr>
        <w:pStyle w:val="a3"/>
        <w:spacing w:after="0"/>
        <w:ind w:left="0" w:right="0" w:firstLine="567"/>
        <w:jc w:val="both"/>
      </w:pPr>
      <w:r>
        <w:t>Предельные параметры земельных участков и разрешенного строительства: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Предельные (минимальные и (или) максимальные) размеры земельных участков, предельные параметры разрешенного строител</w:t>
      </w:r>
      <w:r>
        <w:t>ьства, реконструкции объектов капитального строительства: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для объектов индивидуального жилищного строительства):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</w:t>
      </w:r>
      <w:proofErr w:type="gramStart"/>
      <w:r>
        <w:t>минимальные</w:t>
      </w:r>
      <w:proofErr w:type="gramEnd"/>
      <w:r>
        <w:t xml:space="preserve"> размер земельного участка - 600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- 2 000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максимальное количество этажей</w:t>
      </w:r>
      <w:r>
        <w:t xml:space="preserve"> - 3;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- 65 %;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красной линии- 5 м;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смежных земельных участков - 3м.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для нежилых зданий: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</w:t>
      </w:r>
      <w:proofErr w:type="gramStart"/>
      <w:r>
        <w:t>минимальн</w:t>
      </w:r>
      <w:r>
        <w:t>ые</w:t>
      </w:r>
      <w:proofErr w:type="gramEnd"/>
      <w:r>
        <w:t xml:space="preserve"> размер земельного участка - 400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- 10 000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максимальное количество этажей - 3;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- 65 %;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</w:t>
      </w:r>
      <w:r>
        <w:t>я мест допустимого размещения объекта: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красной линии- 5 м;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смежных земельных участков - 6 м.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для объектов инженерной инфраструктуры не являющихся линейными: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</w:t>
      </w:r>
      <w:proofErr w:type="gramStart"/>
      <w:r>
        <w:t>минимальные</w:t>
      </w:r>
      <w:proofErr w:type="gramEnd"/>
      <w:r>
        <w:t xml:space="preserve"> размер земельного участка - 4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максимальный размер земельного </w:t>
      </w:r>
      <w:r>
        <w:t>участка - 5 000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максимальное количество этажей - 1;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процент застройки участка - 80 %;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красной линии- 0.5 м;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смежны</w:t>
      </w:r>
      <w:r>
        <w:t>х земельных участков - 0.5 м.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для ведения личного подсобного хозяйства: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</w:t>
      </w:r>
      <w:proofErr w:type="gramStart"/>
      <w:r>
        <w:t>минимальные</w:t>
      </w:r>
      <w:proofErr w:type="gramEnd"/>
      <w:r>
        <w:t xml:space="preserve"> размер земельного участка - 500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- 2 500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максимальное количество этажей - 3;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максимальный процент застройки </w:t>
      </w:r>
      <w:r>
        <w:t>участка - 65 %;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минимальный отступ от границ земельного участка в целях определения мест допустимого размещения объекта: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красной линии- 5 м;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от смежных земельных участков - 3м.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для ведения огородничества: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 xml:space="preserve">- минимальный размер земельного участка - </w:t>
      </w:r>
      <w:r>
        <w:t>1000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- максимальный размер земельного участка 2 500 кв. м.;</w:t>
      </w:r>
    </w:p>
    <w:p w:rsidR="006A2EDD" w:rsidRDefault="00BA48ED">
      <w:pPr>
        <w:pStyle w:val="a3"/>
        <w:spacing w:after="0"/>
        <w:ind w:left="0" w:right="0" w:firstLine="567"/>
        <w:jc w:val="both"/>
      </w:pPr>
      <w:r>
        <w:t>Иные параметры не установлены.</w:t>
      </w:r>
    </w:p>
    <w:sectPr w:rsidR="006A2EDD" w:rsidSect="006A2EDD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6A2EDD"/>
    <w:rsid w:val="006A2EDD"/>
    <w:rsid w:val="00B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D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A2ED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6A2EDD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6A2EDD"/>
  </w:style>
  <w:style w:type="character" w:customStyle="1" w:styleId="FootnoteCharacters">
    <w:name w:val="Footnote Characters"/>
    <w:qFormat/>
    <w:rsid w:val="006A2EDD"/>
  </w:style>
  <w:style w:type="character" w:customStyle="1" w:styleId="InternetLink">
    <w:name w:val="Internet Link"/>
    <w:rsid w:val="006A2EDD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6A2ED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6A2EDD"/>
    <w:rPr>
      <w:i/>
    </w:rPr>
  </w:style>
  <w:style w:type="paragraph" w:customStyle="1" w:styleId="TableContents">
    <w:name w:val="Table Contents"/>
    <w:basedOn w:val="a3"/>
    <w:qFormat/>
    <w:rsid w:val="006A2EDD"/>
  </w:style>
  <w:style w:type="paragraph" w:customStyle="1" w:styleId="Footer">
    <w:name w:val="Footer"/>
    <w:basedOn w:val="a"/>
    <w:rsid w:val="006A2ED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A2ED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6A2EDD"/>
    <w:pPr>
      <w:suppressLineNumbers/>
    </w:pPr>
  </w:style>
  <w:style w:type="paragraph" w:customStyle="1" w:styleId="Caption">
    <w:name w:val="Caption"/>
    <w:basedOn w:val="a"/>
    <w:qFormat/>
    <w:rsid w:val="006A2EDD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6A2EDD"/>
  </w:style>
  <w:style w:type="paragraph" w:styleId="a3">
    <w:name w:val="Body Text"/>
    <w:basedOn w:val="a"/>
    <w:rsid w:val="006A2EDD"/>
    <w:pPr>
      <w:spacing w:before="0" w:after="283"/>
    </w:pPr>
  </w:style>
  <w:style w:type="paragraph" w:customStyle="1" w:styleId="Heading">
    <w:name w:val="Heading"/>
    <w:basedOn w:val="a"/>
    <w:next w:val="a3"/>
    <w:qFormat/>
    <w:rsid w:val="006A2EDD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AC7F9CD7-071D-A476-7DBC-2339F4FB9F8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hyperlink" Target="http://dostup.scli.ru:8111/content/act/387507c3-b80d-4c0d-9291-8cdc81673f2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2018-12-25T12:23:00Z</dcterms:created>
  <dcterms:modified xsi:type="dcterms:W3CDTF">2018-12-25T12:23:00Z</dcterms:modified>
  <dc:language>en-US</dc:language>
</cp:coreProperties>
</file>