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4" w:rsidRDefault="001B4FE4" w:rsidP="001B4FE4">
      <w:pPr>
        <w:autoSpaceDE w:val="0"/>
        <w:autoSpaceDN w:val="0"/>
        <w:adjustRightInd w:val="0"/>
        <w:spacing w:line="240" w:lineRule="auto"/>
        <w:rPr>
          <w:rFonts w:ascii="Tahoma" w:hAnsi="Tahoma" w:cs="Tahoma"/>
          <w:sz w:val="20"/>
          <w:szCs w:val="20"/>
        </w:rPr>
      </w:pPr>
      <w:r>
        <w:rPr>
          <w:rFonts w:ascii="Tahoma" w:hAnsi="Tahoma" w:cs="Tahoma"/>
          <w:sz w:val="20"/>
          <w:szCs w:val="20"/>
        </w:rPr>
        <w:br/>
      </w:r>
    </w:p>
    <w:p w:rsidR="001B4FE4" w:rsidRDefault="001B4FE4" w:rsidP="001B4FE4">
      <w:pPr>
        <w:autoSpaceDE w:val="0"/>
        <w:autoSpaceDN w:val="0"/>
        <w:adjustRightInd w:val="0"/>
        <w:spacing w:after="0" w:line="240" w:lineRule="auto"/>
        <w:jc w:val="both"/>
        <w:outlineLvl w:val="0"/>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РОССИЙСКОЙ ФЕДЕРАЦИИ</w:t>
      </w:r>
    </w:p>
    <w:p w:rsidR="001B4FE4" w:rsidRDefault="001B4FE4" w:rsidP="001B4FE4">
      <w:pPr>
        <w:autoSpaceDE w:val="0"/>
        <w:autoSpaceDN w:val="0"/>
        <w:adjustRightInd w:val="0"/>
        <w:spacing w:line="240" w:lineRule="auto"/>
        <w:jc w:val="center"/>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от 26 декабря 2018 г. N 1680</w:t>
      </w:r>
    </w:p>
    <w:p w:rsidR="001B4FE4" w:rsidRDefault="001B4FE4" w:rsidP="001B4FE4">
      <w:pPr>
        <w:autoSpaceDE w:val="0"/>
        <w:autoSpaceDN w:val="0"/>
        <w:adjustRightInd w:val="0"/>
        <w:spacing w:line="240" w:lineRule="auto"/>
        <w:jc w:val="center"/>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ОБЩИХ ТРЕБОВАНИЙ</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К ОРГАНИЗАЦИИ И ОСУЩЕСТВЛЕНИЮ ОРГАНАМИ </w:t>
      </w:r>
      <w:proofErr w:type="gramStart"/>
      <w:r>
        <w:rPr>
          <w:rFonts w:ascii="Arial" w:hAnsi="Arial" w:cs="Arial"/>
          <w:sz w:val="20"/>
          <w:szCs w:val="20"/>
        </w:rPr>
        <w:t>ГОСУДАРСТВЕННОГО</w:t>
      </w:r>
      <w:proofErr w:type="gramEnd"/>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КОНТРОЛЯ (НАДЗОРА), ОРГАНАМИ МУНИЦИПАЛЬНОГО КОНТРОЛЯ</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МЕРОПРИЯТИЙ ПО ПРОФИЛАКТИКЕ НАРУШЕНИЙ ОБЯЗАТЕЛЬНЫХ</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ТРЕБОВАНИЙ, ТРЕБОВАНИЙ, УСТАНОВЛЕННЫХ МУНИЦИПАЛЬНЫМИ</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4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общие </w:t>
      </w:r>
      <w:hyperlink w:anchor="Par31" w:history="1">
        <w:r>
          <w:rPr>
            <w:rFonts w:ascii="Arial" w:hAnsi="Arial" w:cs="Arial"/>
            <w:color w:val="0000FF"/>
            <w:sz w:val="20"/>
            <w:szCs w:val="20"/>
          </w:rPr>
          <w:t>требования</w:t>
        </w:r>
      </w:hyperlink>
      <w:r>
        <w:rPr>
          <w:rFonts w:ascii="Arial" w:hAnsi="Arial" w:cs="Arial"/>
          <w:sz w:val="20"/>
          <w:szCs w:val="20"/>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roofErr w:type="gramEnd"/>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2019 г.</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декабря 2018 г. N 1680</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bookmarkStart w:id="0" w:name="Par31"/>
      <w:bookmarkEnd w:id="0"/>
      <w:r>
        <w:rPr>
          <w:rFonts w:ascii="Arial" w:hAnsi="Arial" w:cs="Arial"/>
          <w:sz w:val="20"/>
          <w:szCs w:val="20"/>
        </w:rPr>
        <w:t>ОБЩИЕ ТРЕБОВАНИЯ</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К ОРГАНИЗАЦИИ И ОСУЩЕСТВЛЕНИЮ ОРГАНАМИ </w:t>
      </w:r>
      <w:proofErr w:type="gramStart"/>
      <w:r>
        <w:rPr>
          <w:rFonts w:ascii="Arial" w:hAnsi="Arial" w:cs="Arial"/>
          <w:sz w:val="20"/>
          <w:szCs w:val="20"/>
        </w:rPr>
        <w:t>ГОСУДАРСТВЕННОГО</w:t>
      </w:r>
      <w:proofErr w:type="gramEnd"/>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КОНТРОЛЯ (НАДЗОРА), ОРГАНАМИ МУНИЦИПАЛЬНОГО КОНТРОЛЯ</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МЕРОПРИЯТИЙ ПО ПРОФИЛАКТИКЕ НАРУШЕНИЙ ОБЯЗАТЕЛЬНЫХ</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ТРЕБОВАНИЙ, ТРЕБОВАНИЙ, УСТАНОВЛЕННЫХ МУНИЦИПАЛЬНЫМИ</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ПРАВОВЫМИ АКТАМИ</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rPr>
          <w:rFonts w:ascii="Arial" w:hAnsi="Arial" w:cs="Arial"/>
          <w:sz w:val="20"/>
          <w:szCs w:val="20"/>
        </w:rP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II. Программа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Программа профилактики нарушений на следующий год утверждается ежегодно, до 20 декабря текущего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rPr>
          <w:rFonts w:ascii="Arial" w:hAnsi="Arial" w:cs="Arial"/>
          <w:sz w:val="20"/>
          <w:szCs w:val="20"/>
        </w:rPr>
        <w:t>на</w:t>
      </w:r>
      <w:proofErr w:type="gramEnd"/>
      <w:r>
        <w:rPr>
          <w:rFonts w:ascii="Arial" w:hAnsi="Arial" w:cs="Arial"/>
          <w:sz w:val="20"/>
          <w:szCs w:val="20"/>
        </w:rPr>
        <w:t xml:space="preserve"> последующие 2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аналитическую часть программы профилактики нарушений включаются: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виды осуществляемого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rPr>
          <w:rFonts w:ascii="Arial" w:hAnsi="Arial" w:cs="Arial"/>
          <w:sz w:val="20"/>
          <w:szCs w:val="20"/>
        </w:rPr>
        <w:t xml:space="preserve"> причиненного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План мероприятий по профилактике нарушений включает в себя: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мероприятия по профилактике нарушений, проведение которых предусмотрено </w:t>
      </w:r>
      <w:hyperlink r:id="rId5" w:history="1">
        <w:r>
          <w:rPr>
            <w:rFonts w:ascii="Arial" w:hAnsi="Arial" w:cs="Arial"/>
            <w:color w:val="0000FF"/>
            <w:sz w:val="20"/>
            <w:szCs w:val="20"/>
          </w:rPr>
          <w:t>частью 2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rPr>
          <w:rFonts w:ascii="Arial" w:hAnsi="Arial" w:cs="Arial"/>
          <w:sz w:val="20"/>
          <w:szCs w:val="20"/>
        </w:rPr>
        <w:t xml:space="preserve"> также текстов соответствующих нормативных правовых актов (далее - перечни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 xml:space="preserve">10. </w:t>
      </w:r>
      <w:proofErr w:type="gramStart"/>
      <w:r>
        <w:rPr>
          <w:rFonts w:ascii="Arial" w:hAnsi="Arial" w:cs="Arial"/>
          <w:sz w:val="20"/>
          <w:szCs w:val="20"/>
        </w:rPr>
        <w:t xml:space="preserve">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6" w:history="1">
        <w:r>
          <w:rPr>
            <w:rFonts w:ascii="Arial" w:hAnsi="Arial" w:cs="Arial"/>
            <w:color w:val="0000FF"/>
            <w:sz w:val="20"/>
            <w:szCs w:val="20"/>
          </w:rPr>
          <w:t>частями 5</w:t>
        </w:r>
      </w:hyperlink>
      <w:r>
        <w:rPr>
          <w:rFonts w:ascii="Arial" w:hAnsi="Arial" w:cs="Arial"/>
          <w:sz w:val="20"/>
          <w:szCs w:val="20"/>
        </w:rPr>
        <w:t xml:space="preserve"> - </w:t>
      </w:r>
      <w:hyperlink r:id="rId7" w:history="1">
        <w:r>
          <w:rPr>
            <w:rFonts w:ascii="Arial" w:hAnsi="Arial" w:cs="Arial"/>
            <w:color w:val="0000FF"/>
            <w:sz w:val="20"/>
            <w:szCs w:val="20"/>
          </w:rPr>
          <w:t>7</w:t>
        </w:r>
        <w:proofErr w:type="gramEnd"/>
        <w:r>
          <w:rPr>
            <w:rFonts w:ascii="Arial" w:hAnsi="Arial" w:cs="Arial"/>
            <w:color w:val="0000FF"/>
            <w:sz w:val="20"/>
            <w:szCs w:val="20"/>
          </w:rPr>
          <w:t xml:space="preserve">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rPr>
          <w:rFonts w:ascii="Arial" w:hAnsi="Arial" w:cs="Arial"/>
          <w:sz w:val="20"/>
          <w:szCs w:val="20"/>
        </w:rPr>
        <w:t>достижения целей программы профилактики нарушений</w:t>
      </w:r>
      <w:proofErr w:type="gramEnd"/>
      <w:r>
        <w:rPr>
          <w:rFonts w:ascii="Arial" w:hAnsi="Arial" w:cs="Arial"/>
          <w:sz w:val="20"/>
          <w:szCs w:val="20"/>
        </w:rPr>
        <w:t xml:space="preserve"> в указанной программе устанавливаются отчетные показатели.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III. Размещение перечней нормативных правовых актов</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3" w:name="Par70"/>
      <w:bookmarkEnd w:id="3"/>
      <w:r>
        <w:rPr>
          <w:rFonts w:ascii="Arial" w:hAnsi="Arial" w:cs="Arial"/>
          <w:sz w:val="20"/>
          <w:szCs w:val="20"/>
        </w:rP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Перечень нормативных правовых актов составляется уполномоченным органом по следующей структуре: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международные договоры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акты органов Евразийского экономического союза;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федеральные конституционные законы и федеральные законы;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указы и распоряжения Президента Российской Федерации, постановления и распоряжения Правительства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нормативные правовые акты федеральных органов исполнительной власти;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законы и иные нормативные правовые акты субъектов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муниципальные правовые акты;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иные документы, обязательность соблюдения которых установлена законодательством Российской Федерации (далее - иные документы).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Перечни нормативных правовых актов составляются в табличной форме с указанием в отдельных графах таблицы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w:t>
      </w:r>
      <w:proofErr w:type="gramStart"/>
      <w:r>
        <w:rPr>
          <w:rFonts w:ascii="Arial" w:hAnsi="Arial" w:cs="Arial"/>
          <w:sz w:val="20"/>
          <w:szCs w:val="20"/>
        </w:rPr>
        <w:t>рамках</w:t>
      </w:r>
      <w:proofErr w:type="gramEnd"/>
      <w:r>
        <w:rPr>
          <w:rFonts w:ascii="Arial" w:hAnsi="Arial" w:cs="Arial"/>
          <w:sz w:val="20"/>
          <w:szCs w:val="20"/>
        </w:rPr>
        <w:t xml:space="preserve"> составленных в соответствии с </w:t>
      </w:r>
      <w:hyperlink w:anchor="Par70" w:history="1">
        <w:r>
          <w:rPr>
            <w:rFonts w:ascii="Arial" w:hAnsi="Arial" w:cs="Arial"/>
            <w:color w:val="0000FF"/>
            <w:sz w:val="20"/>
            <w:szCs w:val="20"/>
          </w:rPr>
          <w:t>пунктом 14</w:t>
        </w:r>
      </w:hyperlink>
      <w:r>
        <w:rPr>
          <w:rFonts w:ascii="Arial" w:hAnsi="Arial" w:cs="Arial"/>
          <w:sz w:val="20"/>
          <w:szCs w:val="20"/>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8" w:history="1">
        <w:r>
          <w:rPr>
            <w:rFonts w:ascii="Arial" w:hAnsi="Arial" w:cs="Arial"/>
            <w:color w:val="0000FF"/>
            <w:sz w:val="20"/>
            <w:szCs w:val="20"/>
          </w:rPr>
          <w:t>приложением N 1</w:t>
        </w:r>
      </w:hyperlink>
      <w:r>
        <w:rPr>
          <w:rFonts w:ascii="Arial" w:hAnsi="Arial" w:cs="Arial"/>
          <w:sz w:val="20"/>
          <w:szCs w:val="20"/>
        </w:rPr>
        <w:t xml:space="preserve"> к Правилам представления уведомлений о начале осуществления отдельных видов предпринимательской деятельности и учета указанных </w:t>
      </w:r>
      <w:r>
        <w:rPr>
          <w:rFonts w:ascii="Arial" w:hAnsi="Arial" w:cs="Arial"/>
          <w:sz w:val="20"/>
          <w:szCs w:val="20"/>
        </w:rPr>
        <w:lastRenderedPageBreak/>
        <w:t xml:space="preserve">уведомлений, утвержденным постановлением Правительства </w:t>
      </w:r>
      <w:proofErr w:type="gramStart"/>
      <w:r>
        <w:rPr>
          <w:rFonts w:ascii="Arial" w:hAnsi="Arial" w:cs="Arial"/>
          <w:sz w:val="20"/>
          <w:szCs w:val="20"/>
        </w:rP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rPr>
          <w:rFonts w:ascii="Arial" w:hAnsi="Arial" w:cs="Arial"/>
          <w:sz w:val="20"/>
          <w:szCs w:val="20"/>
        </w:rPr>
        <w:t xml:space="preserve"> предпринимательской деятельности и выполняемым в их составе работам и услугам, предусмотренным указанным приложением.</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Pr>
          <w:rFonts w:ascii="Arial" w:hAnsi="Arial" w:cs="Arial"/>
          <w:sz w:val="20"/>
          <w:szCs w:val="20"/>
        </w:rPr>
        <w:t xml:space="preserve">18. </w:t>
      </w:r>
      <w:proofErr w:type="gramStart"/>
      <w:r>
        <w:rPr>
          <w:rFonts w:ascii="Arial" w:hAnsi="Arial" w:cs="Arial"/>
          <w:sz w:val="20"/>
          <w:szCs w:val="20"/>
        </w:rP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t xml:space="preserve">19. </w:t>
      </w:r>
      <w:proofErr w:type="gramStart"/>
      <w:r>
        <w:rPr>
          <w:rFonts w:ascii="Arial" w:hAnsi="Arial" w:cs="Arial"/>
          <w:sz w:val="20"/>
          <w:szCs w:val="20"/>
        </w:rP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w:t>
      </w:r>
      <w:proofErr w:type="spellStart"/>
      <w:r>
        <w:rPr>
          <w:rFonts w:ascii="Arial" w:hAnsi="Arial" w:cs="Arial"/>
          <w:sz w:val="20"/>
          <w:szCs w:val="20"/>
        </w:rPr>
        <w:t>интернет-портале</w:t>
      </w:r>
      <w:proofErr w:type="spellEnd"/>
      <w:r>
        <w:rPr>
          <w:rFonts w:ascii="Arial" w:hAnsi="Arial" w:cs="Arial"/>
          <w:sz w:val="20"/>
          <w:szCs w:val="20"/>
        </w:rPr>
        <w:t xml:space="preserve"> правовой информации (</w:t>
      </w:r>
      <w:proofErr w:type="spellStart"/>
      <w:r>
        <w:rPr>
          <w:rFonts w:ascii="Arial" w:hAnsi="Arial" w:cs="Arial"/>
          <w:sz w:val="20"/>
          <w:szCs w:val="20"/>
        </w:rPr>
        <w:t>pravo.gov.ru</w:t>
      </w:r>
      <w:proofErr w:type="spellEnd"/>
      <w:r>
        <w:rPr>
          <w:rFonts w:ascii="Arial" w:hAnsi="Arial" w:cs="Arial"/>
          <w:sz w:val="20"/>
          <w:szCs w:val="20"/>
        </w:rPr>
        <w:t>),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rPr>
          <w:rFonts w:ascii="Arial" w:hAnsi="Arial" w:cs="Arial"/>
          <w:sz w:val="20"/>
          <w:szCs w:val="20"/>
        </w:rPr>
        <w:t xml:space="preserve">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Fonts w:ascii="Arial" w:hAnsi="Arial" w:cs="Arial"/>
          <w:sz w:val="20"/>
          <w:szCs w:val="20"/>
        </w:rPr>
        <w:t>утратившими</w:t>
      </w:r>
      <w:proofErr w:type="gramEnd"/>
      <w:r>
        <w:rPr>
          <w:rFonts w:ascii="Arial" w:hAnsi="Arial" w:cs="Arial"/>
          <w:sz w:val="20"/>
          <w:szCs w:val="20"/>
        </w:rPr>
        <w:t xml:space="preserve"> силу или изменением нормативных правовых актов, иных документов.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6" w:name="Par89"/>
      <w:bookmarkEnd w:id="6"/>
      <w:r>
        <w:rPr>
          <w:rFonts w:ascii="Arial" w:hAnsi="Arial" w:cs="Arial"/>
          <w:sz w:val="20"/>
          <w:szCs w:val="20"/>
        </w:rPr>
        <w:t xml:space="preserve">22. </w:t>
      </w:r>
      <w:proofErr w:type="gramStart"/>
      <w:r>
        <w:rPr>
          <w:rFonts w:ascii="Arial" w:hAnsi="Arial" w:cs="Arial"/>
          <w:sz w:val="20"/>
          <w:szCs w:val="20"/>
        </w:rPr>
        <w:t>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IV. Информирование по вопросам соблюдения </w:t>
      </w:r>
      <w:proofErr w:type="gramStart"/>
      <w:r>
        <w:rPr>
          <w:rFonts w:ascii="Arial" w:hAnsi="Arial" w:cs="Arial"/>
          <w:sz w:val="20"/>
          <w:szCs w:val="20"/>
        </w:rPr>
        <w:t>обязательных</w:t>
      </w:r>
      <w:proofErr w:type="gramEnd"/>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требований, требований, установленных муниципальными</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правовыми актами</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 xml:space="preserve">24. </w:t>
      </w:r>
      <w:proofErr w:type="gramStart"/>
      <w:r>
        <w:rPr>
          <w:rFonts w:ascii="Arial" w:hAnsi="Arial" w:cs="Arial"/>
          <w:sz w:val="20"/>
          <w:szCs w:val="20"/>
        </w:rPr>
        <w:t xml:space="preserve">Органы государственного контроля (надзора), органы муниципального контроля в случаях, указанных в </w:t>
      </w:r>
      <w:hyperlink w:anchor="Par118" w:history="1">
        <w:r>
          <w:rPr>
            <w:rFonts w:ascii="Arial" w:hAnsi="Arial" w:cs="Arial"/>
            <w:color w:val="0000FF"/>
            <w:sz w:val="20"/>
            <w:szCs w:val="20"/>
          </w:rPr>
          <w:t>пункте 37</w:t>
        </w:r>
      </w:hyperlink>
      <w:r>
        <w:rPr>
          <w:rFonts w:ascii="Arial" w:hAnsi="Arial" w:cs="Arial"/>
          <w:sz w:val="20"/>
          <w:szCs w:val="20"/>
        </w:rP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rPr>
          <w:rFonts w:ascii="Arial" w:hAnsi="Arial" w:cs="Arial"/>
          <w:sz w:val="20"/>
          <w:szCs w:val="20"/>
        </w:rP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w:t>
      </w:r>
      <w:r>
        <w:rPr>
          <w:rFonts w:ascii="Arial" w:hAnsi="Arial" w:cs="Arial"/>
          <w:sz w:val="20"/>
          <w:szCs w:val="20"/>
        </w:rPr>
        <w:lastRenderedPageBreak/>
        <w:t>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8" w:name="Par100"/>
      <w:bookmarkEnd w:id="8"/>
      <w:r>
        <w:rPr>
          <w:rFonts w:ascii="Arial" w:hAnsi="Arial" w:cs="Arial"/>
          <w:sz w:val="20"/>
          <w:szCs w:val="20"/>
        </w:rP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9" w:name="Par103"/>
      <w:bookmarkEnd w:id="9"/>
      <w:r>
        <w:rPr>
          <w:rFonts w:ascii="Arial" w:hAnsi="Arial" w:cs="Arial"/>
          <w:sz w:val="20"/>
          <w:szCs w:val="20"/>
        </w:rP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w:t>
      </w:r>
      <w:proofErr w:type="spellStart"/>
      <w:r>
        <w:rPr>
          <w:rFonts w:ascii="Arial" w:hAnsi="Arial" w:cs="Arial"/>
          <w:sz w:val="20"/>
          <w:szCs w:val="20"/>
        </w:rPr>
        <w:t>очно</w:t>
      </w:r>
      <w:proofErr w:type="spellEnd"/>
      <w:r>
        <w:rPr>
          <w:rFonts w:ascii="Arial" w:hAnsi="Arial" w:cs="Arial"/>
          <w:sz w:val="20"/>
          <w:szCs w:val="20"/>
        </w:rPr>
        <w:t xml:space="preserve">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0" w:name="Par104"/>
      <w:bookmarkEnd w:id="10"/>
      <w:r>
        <w:rPr>
          <w:rFonts w:ascii="Arial" w:hAnsi="Arial" w:cs="Arial"/>
          <w:sz w:val="20"/>
          <w:szCs w:val="20"/>
        </w:rPr>
        <w:t xml:space="preserve">32. </w:t>
      </w:r>
      <w:proofErr w:type="gramStart"/>
      <w:r>
        <w:rPr>
          <w:rFonts w:ascii="Arial" w:hAnsi="Arial" w:cs="Arial"/>
          <w:sz w:val="20"/>
          <w:szCs w:val="20"/>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rPr>
          <w:rFonts w:ascii="Arial" w:hAnsi="Arial" w:cs="Arial"/>
          <w:sz w:val="20"/>
          <w:szCs w:val="20"/>
        </w:rP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V. Обобщение практики осуществления государственного</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контроля (надзора), муниципального контроля</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1" w:name="Par112"/>
      <w:bookmarkEnd w:id="11"/>
      <w:r>
        <w:rPr>
          <w:rFonts w:ascii="Arial" w:hAnsi="Arial" w:cs="Arial"/>
          <w:sz w:val="20"/>
          <w:szCs w:val="20"/>
        </w:rPr>
        <w:t xml:space="preserve">34. </w:t>
      </w:r>
      <w:proofErr w:type="gramStart"/>
      <w:r>
        <w:rPr>
          <w:rFonts w:ascii="Arial" w:hAnsi="Arial" w:cs="Arial"/>
          <w:sz w:val="20"/>
          <w:szCs w:val="20"/>
        </w:rP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rPr>
          <w:rFonts w:ascii="Arial" w:hAnsi="Arial" w:cs="Arial"/>
          <w:sz w:val="20"/>
          <w:szCs w:val="20"/>
        </w:rP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roofErr w:type="gramEnd"/>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проблемных вопросов организации и осуществления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rPr>
          <w:rFonts w:ascii="Arial" w:hAnsi="Arial" w:cs="Arial"/>
          <w:sz w:val="20"/>
          <w:szCs w:val="20"/>
        </w:rP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2" w:name="Par118"/>
      <w:bookmarkEnd w:id="12"/>
      <w:r>
        <w:rPr>
          <w:rFonts w:ascii="Arial" w:hAnsi="Arial" w:cs="Arial"/>
          <w:sz w:val="20"/>
          <w:szCs w:val="20"/>
        </w:rP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rPr>
          <w:rFonts w:ascii="Arial" w:hAnsi="Arial" w:cs="Arial"/>
          <w:sz w:val="20"/>
          <w:szCs w:val="20"/>
        </w:rP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VI. Особенности организации и осуществления мероприятий</w:t>
      </w:r>
    </w:p>
    <w:p w:rsidR="001B4FE4" w:rsidRDefault="001B4FE4" w:rsidP="001B4FE4">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профилактике нарушений обязательных требований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ar85" w:history="1">
        <w:r>
          <w:rPr>
            <w:rFonts w:ascii="Arial" w:hAnsi="Arial" w:cs="Arial"/>
            <w:color w:val="0000FF"/>
            <w:sz w:val="20"/>
            <w:szCs w:val="20"/>
          </w:rPr>
          <w:t>пункты 18</w:t>
        </w:r>
      </w:hyperlink>
      <w:r>
        <w:rPr>
          <w:rFonts w:ascii="Arial" w:hAnsi="Arial" w:cs="Arial"/>
          <w:sz w:val="20"/>
          <w:szCs w:val="20"/>
        </w:rPr>
        <w:t xml:space="preserve"> и </w:t>
      </w:r>
      <w:hyperlink w:anchor="Par86" w:history="1">
        <w:r>
          <w:rPr>
            <w:rFonts w:ascii="Arial" w:hAnsi="Arial" w:cs="Arial"/>
            <w:color w:val="0000FF"/>
            <w:sz w:val="20"/>
            <w:szCs w:val="20"/>
          </w:rPr>
          <w:t>19</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 применяются требования </w:t>
      </w:r>
      <w:hyperlink w:anchor="Par63" w:history="1">
        <w:r>
          <w:rPr>
            <w:rFonts w:ascii="Arial" w:hAnsi="Arial" w:cs="Arial"/>
            <w:color w:val="0000FF"/>
            <w:sz w:val="20"/>
            <w:szCs w:val="20"/>
          </w:rPr>
          <w:t>пунктов 10</w:t>
        </w:r>
      </w:hyperlink>
      <w:r>
        <w:rPr>
          <w:rFonts w:ascii="Arial" w:hAnsi="Arial" w:cs="Arial"/>
          <w:sz w:val="20"/>
          <w:szCs w:val="20"/>
        </w:rPr>
        <w:t xml:space="preserve">, </w:t>
      </w:r>
      <w:hyperlink w:anchor="Par65" w:history="1">
        <w:r>
          <w:rPr>
            <w:rFonts w:ascii="Arial" w:hAnsi="Arial" w:cs="Arial"/>
            <w:color w:val="0000FF"/>
            <w:sz w:val="20"/>
            <w:szCs w:val="20"/>
          </w:rPr>
          <w:t>12</w:t>
        </w:r>
      </w:hyperlink>
      <w:r>
        <w:rPr>
          <w:rFonts w:ascii="Arial" w:hAnsi="Arial" w:cs="Arial"/>
          <w:sz w:val="20"/>
          <w:szCs w:val="20"/>
        </w:rPr>
        <w:t xml:space="preserve">, </w:t>
      </w:r>
      <w:hyperlink w:anchor="Par89" w:history="1">
        <w:r>
          <w:rPr>
            <w:rFonts w:ascii="Arial" w:hAnsi="Arial" w:cs="Arial"/>
            <w:color w:val="0000FF"/>
            <w:sz w:val="20"/>
            <w:szCs w:val="20"/>
          </w:rPr>
          <w:t>22</w:t>
        </w:r>
      </w:hyperlink>
      <w:r>
        <w:rPr>
          <w:rFonts w:ascii="Arial" w:hAnsi="Arial" w:cs="Arial"/>
          <w:sz w:val="20"/>
          <w:szCs w:val="20"/>
        </w:rPr>
        <w:t xml:space="preserve">, </w:t>
      </w:r>
      <w:hyperlink w:anchor="Par96" w:history="1">
        <w:r>
          <w:rPr>
            <w:rFonts w:ascii="Arial" w:hAnsi="Arial" w:cs="Arial"/>
            <w:color w:val="0000FF"/>
            <w:sz w:val="20"/>
            <w:szCs w:val="20"/>
          </w:rPr>
          <w:t>24</w:t>
        </w:r>
      </w:hyperlink>
      <w:r>
        <w:rPr>
          <w:rFonts w:ascii="Arial" w:hAnsi="Arial" w:cs="Arial"/>
          <w:sz w:val="20"/>
          <w:szCs w:val="20"/>
        </w:rPr>
        <w:t xml:space="preserve">, </w:t>
      </w:r>
      <w:hyperlink w:anchor="Par100" w:history="1">
        <w:r>
          <w:rPr>
            <w:rFonts w:ascii="Arial" w:hAnsi="Arial" w:cs="Arial"/>
            <w:color w:val="0000FF"/>
            <w:sz w:val="20"/>
            <w:szCs w:val="20"/>
          </w:rPr>
          <w:t>28</w:t>
        </w:r>
      </w:hyperlink>
      <w:r>
        <w:rPr>
          <w:rFonts w:ascii="Arial" w:hAnsi="Arial" w:cs="Arial"/>
          <w:sz w:val="20"/>
          <w:szCs w:val="20"/>
        </w:rPr>
        <w:t xml:space="preserve">, </w:t>
      </w:r>
      <w:hyperlink w:anchor="Par103" w:history="1">
        <w:r>
          <w:rPr>
            <w:rFonts w:ascii="Arial" w:hAnsi="Arial" w:cs="Arial"/>
            <w:color w:val="0000FF"/>
            <w:sz w:val="20"/>
            <w:szCs w:val="20"/>
          </w:rPr>
          <w:t>31</w:t>
        </w:r>
      </w:hyperlink>
      <w:r>
        <w:rPr>
          <w:rFonts w:ascii="Arial" w:hAnsi="Arial" w:cs="Arial"/>
          <w:sz w:val="20"/>
          <w:szCs w:val="20"/>
        </w:rPr>
        <w:t xml:space="preserve">, </w:t>
      </w:r>
      <w:hyperlink w:anchor="Par104" w:history="1">
        <w:r>
          <w:rPr>
            <w:rFonts w:ascii="Arial" w:hAnsi="Arial" w:cs="Arial"/>
            <w:color w:val="0000FF"/>
            <w:sz w:val="20"/>
            <w:szCs w:val="20"/>
          </w:rPr>
          <w:t>32</w:t>
        </w:r>
      </w:hyperlink>
      <w:r>
        <w:rPr>
          <w:rFonts w:ascii="Arial" w:hAnsi="Arial" w:cs="Arial"/>
          <w:sz w:val="20"/>
          <w:szCs w:val="20"/>
        </w:rPr>
        <w:t xml:space="preserve">, </w:t>
      </w:r>
      <w:hyperlink w:anchor="Par112" w:history="1">
        <w:r>
          <w:rPr>
            <w:rFonts w:ascii="Arial" w:hAnsi="Arial" w:cs="Arial"/>
            <w:color w:val="0000FF"/>
            <w:sz w:val="20"/>
            <w:szCs w:val="20"/>
          </w:rPr>
          <w:t>34</w:t>
        </w:r>
      </w:hyperlink>
      <w:r>
        <w:rPr>
          <w:rFonts w:ascii="Arial" w:hAnsi="Arial" w:cs="Arial"/>
          <w:sz w:val="20"/>
          <w:szCs w:val="20"/>
        </w:rPr>
        <w:t xml:space="preserve"> и </w:t>
      </w:r>
      <w:hyperlink w:anchor="Par118" w:history="1">
        <w:r>
          <w:rPr>
            <w:rFonts w:ascii="Arial" w:hAnsi="Arial" w:cs="Arial"/>
            <w:color w:val="0000FF"/>
            <w:sz w:val="20"/>
            <w:szCs w:val="20"/>
          </w:rPr>
          <w:t>37</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pBdr>
          <w:top w:val="single" w:sz="6" w:space="0" w:color="auto"/>
        </w:pBdr>
        <w:autoSpaceDE w:val="0"/>
        <w:autoSpaceDN w:val="0"/>
        <w:adjustRightInd w:val="0"/>
        <w:spacing w:before="100" w:after="100" w:line="240" w:lineRule="auto"/>
        <w:jc w:val="both"/>
        <w:rPr>
          <w:rFonts w:ascii="Arial" w:hAnsi="Arial" w:cs="Arial"/>
          <w:sz w:val="2"/>
          <w:szCs w:val="2"/>
        </w:rPr>
      </w:pPr>
    </w:p>
    <w:p w:rsidR="006D4FD9" w:rsidRDefault="006D4FD9"/>
    <w:sectPr w:rsidR="006D4FD9" w:rsidSect="008E7A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FE4"/>
    <w:rsid w:val="001B4FE4"/>
    <w:rsid w:val="003C25D7"/>
    <w:rsid w:val="006D4FD9"/>
    <w:rsid w:val="00770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20CE80DFB5C7360A9911F45D352865A0697B95DDEC4F647248B7E1E62F668C48383B74FDFA00EFA7A8CFC2BEDA6C854D11932D5251356Y1W9F" TargetMode="External"/><Relationship Id="rId3" Type="http://schemas.openxmlformats.org/officeDocument/2006/relationships/webSettings" Target="webSettings.xml"/><Relationship Id="rId7" Type="http://schemas.openxmlformats.org/officeDocument/2006/relationships/hyperlink" Target="consultantplus://offline/ref=AB520CE80DFB5C7360A9911F45D352865A0594BC52DBC4F647248B7E1E62F668C48383B546DCAA5CAA358DA06CB8B5CB51D11B37CAY2W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520CE80DFB5C7360A9911F45D352865A0594BC52DBC4F647248B7E1E62F668C48383B546DEAA5CAA358DA06CB8B5CB51D11B37CAY2WEF" TargetMode="External"/><Relationship Id="rId5" Type="http://schemas.openxmlformats.org/officeDocument/2006/relationships/hyperlink" Target="consultantplus://offline/ref=AB520CE80DFB5C7360A9911F45D352865A0594BC52DBC4F647248B7E1E62F668C48383B547DAAA5CAA358DA06CB8B5CB51D11B37CAY2WEF" TargetMode="External"/><Relationship Id="rId10" Type="http://schemas.openxmlformats.org/officeDocument/2006/relationships/theme" Target="theme/theme1.xml"/><Relationship Id="rId4" Type="http://schemas.openxmlformats.org/officeDocument/2006/relationships/hyperlink" Target="consultantplus://offline/ref=AB520CE80DFB5C7360A9911F45D352865A0594BC52DBC4F647248B7E1E62F668C48383B546DFAA5CAA358DA06CB8B5CB51D11B37CAY2WE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22325</Characters>
  <Application>Microsoft Office Word</Application>
  <DocSecurity>0</DocSecurity>
  <Lines>186</Lines>
  <Paragraphs>52</Paragraphs>
  <ScaleCrop>false</ScaleCrop>
  <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adm-kch</dc:creator>
  <cp:keywords/>
  <dc:description/>
  <cp:lastModifiedBy>Admin</cp:lastModifiedBy>
  <cp:revision>3</cp:revision>
  <dcterms:created xsi:type="dcterms:W3CDTF">2019-05-30T05:22:00Z</dcterms:created>
  <dcterms:modified xsi:type="dcterms:W3CDTF">2019-06-13T10:56:00Z</dcterms:modified>
</cp:coreProperties>
</file>