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18" w:rsidRDefault="005B7618" w:rsidP="005B7618">
      <w:pPr>
        <w:spacing w:after="0"/>
      </w:pPr>
    </w:p>
    <w:p w:rsidR="005B7618" w:rsidRPr="003F2711" w:rsidRDefault="005B7618" w:rsidP="005B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B7618" w:rsidRPr="003F2711" w:rsidRDefault="005B7618" w:rsidP="005B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5B7618" w:rsidRPr="003F2711" w:rsidRDefault="005B7618" w:rsidP="005B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ЯСЕНОВСКОГО СЕЛЬСКОГО ПОСЕЛЕНИЯ</w:t>
      </w:r>
    </w:p>
    <w:p w:rsidR="005B7618" w:rsidRPr="003F2711" w:rsidRDefault="005B7618" w:rsidP="005B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5B7618" w:rsidRPr="003F2711" w:rsidRDefault="005B7618" w:rsidP="005B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B7618" w:rsidRPr="003F2711" w:rsidRDefault="005B7618" w:rsidP="005B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5B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РЕШЕНИЕ</w:t>
      </w:r>
    </w:p>
    <w:p w:rsidR="005B7618" w:rsidRPr="003F2711" w:rsidRDefault="005B7618" w:rsidP="005B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От 12 февраля  2014 г                                                                                              № 142</w:t>
      </w: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 xml:space="preserve">Отчет главы Ясеновского </w:t>
      </w: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о работе, проделанной в 2013году</w:t>
      </w: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 xml:space="preserve">      Заслушав отчет главы Ясеновского сельского поселения Грищенко Г.Д. о работе, проделанной в 2013 году Совет народных депутатов Ясеновского сельского поселения</w:t>
      </w:r>
    </w:p>
    <w:p w:rsidR="005B7618" w:rsidRPr="003F2711" w:rsidRDefault="005B7618" w:rsidP="005B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5B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РЕШИЛ:</w:t>
      </w:r>
    </w:p>
    <w:p w:rsidR="005B7618" w:rsidRPr="003F2711" w:rsidRDefault="005B7618" w:rsidP="005B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5B761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Принять к сведению доклад главы Ясеновского сельского поселения о работе, проделанной в 2013 году согласно приложению.</w:t>
      </w:r>
    </w:p>
    <w:p w:rsidR="005B7618" w:rsidRPr="003F2711" w:rsidRDefault="005B7618" w:rsidP="005B761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Главе Ясеновского сельского поселения принять необходимые меры по повышению ответственности органов  местного самоуправления и должностных лиц администрации Ясеновского сельского поселения  по повышению эффективности их работы.</w:t>
      </w:r>
    </w:p>
    <w:p w:rsidR="005B7618" w:rsidRPr="003F2711" w:rsidRDefault="005B7618" w:rsidP="005B761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7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2711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возлагается на профильные постоянные депутатские комиссии Совета народных депутатов Ясеновского сельского поселения.</w:t>
      </w: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 xml:space="preserve">Глава Ясеновского </w:t>
      </w: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71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Г.Д. Грищенко</w:t>
      </w: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5B7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Default="005B7618" w:rsidP="005B7618">
      <w:pPr>
        <w:spacing w:after="0"/>
      </w:pPr>
    </w:p>
    <w:p w:rsidR="00B66B1A" w:rsidRDefault="00B66B1A"/>
    <w:p w:rsidR="005B7618" w:rsidRDefault="005B7618"/>
    <w:p w:rsidR="005B7618" w:rsidRDefault="005B7618"/>
    <w:p w:rsidR="005B7618" w:rsidRDefault="005B7618"/>
    <w:p w:rsidR="005B7618" w:rsidRDefault="005B7618"/>
    <w:p w:rsidR="005B7618" w:rsidRDefault="005B7618"/>
    <w:p w:rsidR="005B7618" w:rsidRPr="00E61CC4" w:rsidRDefault="005B7618" w:rsidP="005B7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CC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5B7618" w:rsidRPr="00E61CC4" w:rsidRDefault="005B7618" w:rsidP="005B7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CC4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5B7618" w:rsidRPr="00E61CC4" w:rsidRDefault="005B7618" w:rsidP="005B7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CC4">
        <w:rPr>
          <w:rFonts w:ascii="Times New Roman" w:hAnsi="Times New Roman" w:cs="Times New Roman"/>
          <w:sz w:val="24"/>
          <w:szCs w:val="24"/>
        </w:rPr>
        <w:t xml:space="preserve"> Ясеновского сельского поселения </w:t>
      </w:r>
    </w:p>
    <w:p w:rsidR="005B7618" w:rsidRPr="00E61CC4" w:rsidRDefault="005B7618" w:rsidP="005B7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1CC4">
        <w:rPr>
          <w:rFonts w:ascii="Times New Roman" w:hAnsi="Times New Roman" w:cs="Times New Roman"/>
          <w:sz w:val="24"/>
          <w:szCs w:val="24"/>
        </w:rPr>
        <w:t>от 12.02.2014 г. № 142</w:t>
      </w:r>
    </w:p>
    <w:p w:rsidR="005B7618" w:rsidRPr="003F2711" w:rsidRDefault="005B7618">
      <w:pPr>
        <w:rPr>
          <w:b/>
        </w:rPr>
      </w:pPr>
    </w:p>
    <w:p w:rsidR="003F2711" w:rsidRPr="003F2711" w:rsidRDefault="003F2711" w:rsidP="003F2711">
      <w:pPr>
        <w:spacing w:after="0"/>
        <w:jc w:val="center"/>
        <w:rPr>
          <w:b/>
          <w:bCs/>
        </w:rPr>
      </w:pPr>
      <w:r w:rsidRPr="003F2711">
        <w:rPr>
          <w:b/>
          <w:bCs/>
        </w:rPr>
        <w:t>ОТЧЕТ</w:t>
      </w:r>
    </w:p>
    <w:p w:rsidR="003F2711" w:rsidRPr="003F2711" w:rsidRDefault="003F2711" w:rsidP="003F2711">
      <w:pPr>
        <w:spacing w:after="0"/>
        <w:jc w:val="center"/>
        <w:rPr>
          <w:b/>
          <w:bCs/>
        </w:rPr>
      </w:pPr>
      <w:r w:rsidRPr="003F2711">
        <w:rPr>
          <w:b/>
          <w:bCs/>
        </w:rPr>
        <w:t>ГЛАВЫ  ЯСЕНОВСКОГО СЕЛЬСКОГО ПОСЕЛЕНИЯ</w:t>
      </w:r>
    </w:p>
    <w:p w:rsidR="003F2711" w:rsidRPr="003F2711" w:rsidRDefault="003F2711" w:rsidP="003F2711">
      <w:pPr>
        <w:spacing w:after="0"/>
        <w:jc w:val="center"/>
        <w:rPr>
          <w:b/>
          <w:bCs/>
        </w:rPr>
      </w:pPr>
      <w:r w:rsidRPr="003F2711">
        <w:rPr>
          <w:b/>
          <w:bCs/>
        </w:rPr>
        <w:t>ЗА 2013 ГОД</w:t>
      </w:r>
    </w:p>
    <w:p w:rsidR="003F2711" w:rsidRDefault="003F2711" w:rsidP="003F2711">
      <w:pPr>
        <w:jc w:val="center"/>
        <w:rPr>
          <w:b/>
          <w:bCs/>
        </w:rPr>
      </w:pP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F2711">
        <w:rPr>
          <w:rFonts w:ascii="Times New Roman" w:hAnsi="Times New Roman" w:cs="Times New Roman"/>
          <w:bCs/>
          <w:sz w:val="24"/>
          <w:szCs w:val="24"/>
        </w:rPr>
        <w:t>Уважаемые жители сел Ясеновка, Хвощеватое, Репяховка, депутаты Совета народных депутатов Ясеновского сельского поселения и приглашенные, сегодня состоится расширенная сессия Совета народных депутатов Ясеновского сельского  поселения по вопросу отчета главы Ясеновского сельского поселения по итогам работы за 2013год и перспективах развития поселения на 2014год.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Такая форма взаимодействия с общественностью  и жителями, на мой взгляд, очень важна и эффективна.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На встрече присутствуют: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Калачеевского муниципального района –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Пацев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Владимир Николаевич;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- Начальник ПЧ – 73 ГПС 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Новомеловатка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В.А.Бочаров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>;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Старший участковый уполномоченный полиции Отдела МВД России по Калачеевскому району – Мельников С.В.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Начало нового календарного года всегда является временем подведения итогов года прошедшего и сегодня нам предстоит обсудить жизнь нашего поселения за минувший год.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Ясеновское сельское поселение расположено в северо-западной части Калачеевского муниципального района. Территория поселения граничит: на севере  и северо-востоке с Воробъевским муниципальным районом, на юго-востоке с городским поселением – г. Калач, на юге с Меловатским сельским поселением, на западе с Россыпнянским сельским поселением Калачеевского муниципального района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На территории сельского поселения расположено три населенных пункта – село Ясеновка, хутор Репяховка и хутор Хвощеватое. Село Ясеновка является административным центром Ясеновского сельского поселения. Оно расположено в 27 км от районного центра – город Калач.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Территория Ясеновского сельского поселения -  19 улиц, 701 домовладение , из них жилых 344, в том числе: с.Ясеновка - 207  , х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.Х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>вощеватое-129 , х.Репяховка- 8.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На начало 2013года по данным похозяйственного учета численность населения составила 977 человек: с.Ясеновка – 533, х.Репяховка – 32, х.Хвощеватое - 412.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За год 4 человека родилось, 18 человек умерло, 8 человек прибыл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>зарегистрировалось), 28 человек выбыло (выписалось).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На 01.01.2014 года численность населения составила 941 человек, из них 463         трудоспособных,  335  пенсионеров, 143 человека  дети до 18 лет, в том числе учащихся 57 человек, дошкольного возраста 23 человека.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Общая земельная площадь в границах муниципального образования составляет 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9603га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в том числе земли населенных пунктов – 768 га, земли с/х назначения 8487га.  </w:t>
      </w:r>
      <w:r w:rsidRPr="003F2711">
        <w:rPr>
          <w:rFonts w:ascii="Times New Roman" w:hAnsi="Times New Roman" w:cs="Times New Roman"/>
          <w:bCs/>
          <w:sz w:val="24"/>
          <w:szCs w:val="24"/>
        </w:rPr>
        <w:lastRenderedPageBreak/>
        <w:t>Доля земель сельскохозяйственного назначения, на которые зарегистрированы права собственност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составила 92,9 %. Доля невостребованных земельных долей на которую не зарегистрировано право собственности составила – 7,1%, оформлением невостребованных земельных долей занимается администрация Ясеновского сельского поселения.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За 2013 год выдано  900 справок: это справки о составе семьи,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лпх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>, о домовладении, о наличии и отсутствии земельной доли, справки на умерших для оформлении наследства, выписки из похозяйственных книг на земельный участок и жилой дом и другие.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В 2013 году было совершенно 40 нотариальных действий.  Принято и рассмотрено 128 письменных заявлений.           </w:t>
      </w:r>
    </w:p>
    <w:p w:rsidR="003F2711" w:rsidRPr="003F2711" w:rsidRDefault="00E61CC4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F2711" w:rsidRPr="003F2711">
        <w:rPr>
          <w:rFonts w:ascii="Times New Roman" w:hAnsi="Times New Roman" w:cs="Times New Roman"/>
          <w:bCs/>
          <w:sz w:val="24"/>
          <w:szCs w:val="24"/>
        </w:rPr>
        <w:t xml:space="preserve">На территории Ясеновского сельского поселения осуществляют свою деятельность следующие хозяйствующие субъекты:  колхоз </w:t>
      </w:r>
      <w:proofErr w:type="spellStart"/>
      <w:r w:rsidR="003F2711" w:rsidRPr="003F2711">
        <w:rPr>
          <w:rFonts w:ascii="Times New Roman" w:hAnsi="Times New Roman" w:cs="Times New Roman"/>
          <w:bCs/>
          <w:sz w:val="24"/>
          <w:szCs w:val="24"/>
        </w:rPr>
        <w:t>им</w:t>
      </w:r>
      <w:proofErr w:type="gramStart"/>
      <w:r w:rsidR="003F2711" w:rsidRPr="003F2711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3F2711" w:rsidRPr="003F2711">
        <w:rPr>
          <w:rFonts w:ascii="Times New Roman" w:hAnsi="Times New Roman" w:cs="Times New Roman"/>
          <w:bCs/>
          <w:sz w:val="24"/>
          <w:szCs w:val="24"/>
        </w:rPr>
        <w:t>уйбышева</w:t>
      </w:r>
      <w:proofErr w:type="spellEnd"/>
      <w:r w:rsidR="003F2711" w:rsidRPr="003F2711">
        <w:rPr>
          <w:rFonts w:ascii="Times New Roman" w:hAnsi="Times New Roman" w:cs="Times New Roman"/>
          <w:bCs/>
          <w:sz w:val="24"/>
          <w:szCs w:val="24"/>
        </w:rPr>
        <w:t>, ООО «Хвощеватое», ИП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Глава </w:t>
      </w:r>
      <w:r w:rsidR="003F2711" w:rsidRPr="003F2711">
        <w:rPr>
          <w:rFonts w:ascii="Times New Roman" w:hAnsi="Times New Roman" w:cs="Times New Roman"/>
          <w:bCs/>
          <w:sz w:val="24"/>
          <w:szCs w:val="24"/>
        </w:rPr>
        <w:t xml:space="preserve"> КФХ Понкин В.П., ООО «Гранат», занимающиеся производством сельскохозяйственной продукции. К большому сожалению не все из них зарегистрированы на территории поселения и имеют другой юридический адрес, поэтому определенная часть налогов не поступает в бюджет поселения. Так же на территории поселения расположены  два Дома культуры, 2 фельдшерско - акушерских пункта, 2 общеобразовательных учреждения, в которых обучаются 57 человек. Информационно-библиографическое обслуживание жителей Ясеновского сельского поселения осуществлялось сельскими библиотеками с книжным фондом 79190 экземпляров. В 2013 году было приобретено книг на сумму 4600 рублей.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Имеется отделение связи, где можно не только сделать подписку на газеты и журналы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но и оплатить все виды коммунальных услуг, налоговые платежи. Имеется 7 объектов розничной торговли.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Бюджет нашего поселения состоит из собственных налоговых и неналоговых доходов, а также безвозмездные поступления.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Доля собственных налоговых и неналоговых доходов в общем объеме доходов бюджета поселения составила – 31,5 %.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К собственным доходам относятся: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НДФЛ – 14,4%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Единый с/х налог – 10,3%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Налог на имущество расположенного в границах поселения – 4,4 % 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Земельный налог – 50,9 %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Госпошлина – 0,5 %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Аренда невостребованной земли – 19,5 % 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    Расходная часть бюджета включает в себя расходы на оплату труда с отчислениями– 35,5%   в том числе: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На оплату органов самоуправления – 23,6%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На культуру -  10,8%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Оплата коммунальных услуг: электроэнергия -3,1%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Услуги связи – 0,6%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Затраты на ГСМ составили – 2,1%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Строительство электролинии – 15,7 %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Благоустройство территории – 3,9 % 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Приобретение автомобиля – 6,4 %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Приобретение костюмов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музыкальная аппаратура -1,7 %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Ремонт дороги – 23,6 %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Утилизация ядохимикатов и оформление документов по ГОЧС – 2.5% 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Содержание ВУР – 1,3 %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Бланки, канцтовары – 0,9 %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Прочие расходы – 2,7 %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С целью повышения собираемости местных налогов,  администрацией поселения проводилась разъяснительная беседа с каждым недоимщиком по земельному и имущественному налогу, так же проводилось извещение по средствам связи 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задолжников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не проживающих на территории поселения.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 В результате чего была собрана задолженность по земельному и имущественному налогу за 2006 год в сумме 9067 рублей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Планируется активизировать работу по увеличению  местных налогов и сборов.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В течение года специалистами администрации и культуры был проведен обход каждого домовладения  с похозяйственной  книгой с целью  переучета скота. В настоящее время переучет поголовья проводится подекадно.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1CC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F2711">
        <w:rPr>
          <w:rFonts w:ascii="Times New Roman" w:hAnsi="Times New Roman" w:cs="Times New Roman"/>
          <w:bCs/>
          <w:sz w:val="24"/>
          <w:szCs w:val="24"/>
        </w:rPr>
        <w:t>Ведется исполнение отдельных государственных полномочий  в части веде</w:t>
      </w:r>
      <w:r w:rsidR="00E61CC4">
        <w:rPr>
          <w:rFonts w:ascii="Times New Roman" w:hAnsi="Times New Roman" w:cs="Times New Roman"/>
          <w:bCs/>
          <w:sz w:val="24"/>
          <w:szCs w:val="24"/>
        </w:rPr>
        <w:t xml:space="preserve">ния воинского учета. </w:t>
      </w: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Основной целью воинского учета является обеспечение полноценным и качественным укомплектованием призывными ресурсами вооруженных сил РФ.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На воинском учете состоит 207 человек. Первичной постановки воинского учета подлежат 15 граждан.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администрации, используется официальный сайт администрации Ясеновского сельского поселения, где размещаются нормативные документы и многое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 Объем инвестиций в основной капитал по полному кругу организаций всех форм собственности расположенных на территории поселения за год составил 25900 тыс. рублей: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 Это колхоз «Куйбышева» приобрел с\х техники на сумму 11357,4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тыс.р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>.,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укладка асфальтового покрытия в  ангаре на сумму 1197,4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.  приобретение технического  оборудования и монтаж ЗАВ – 20 – 1671,5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. ИП КФХ Понкин В.П. приобрел с/х техники на сумму 1810,0тыс. рублей. Это два хозяйствующих субъекта, которые являются основными налогоплательщиками, определенная часть которых поступает в бюджет поселения. 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Также  руководители данных хозяйств Вербицкий А.Н., Понкин В.П. и  руководитель ООО «Хвощеватое» Винников В.А. в отличие от других многообещающих руководителей хозяйствующих субъектов расположенных на территории поселения не только выдают арендную плату за земельные паи,  но и  помогают решать многие социальные вопросы поселения, такие как: очистка дорог от снега, оплата уличного освещения, ремонт памятников погибшим односельчанам,  оказывают финансовую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поддержку в проведении праздничных мероприятий и так далее.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В 2013 году был проведен ремонт асфальтового покрытия  в с.Ясеновка ул. Первомайская и х.Хвощеватое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>агарина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. Объем  выполненных работ составил 281 метр на сумму 1039,1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. 1000,0тыс.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выделено из областного бюджета и 39,1тыс. руб. из местного бюджета.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Наиболее кропотливой являлась  и является на сегодня работа  по наведению порядка на территории поселения. С начала весны и до поздней осени проводились субботники. Здесь не всегда получалось как надо, не всегда находили понимание со стороны жителей. Те люди, которые действительно хотят видеть свое село в чистоте, активно участвуют в субботниках по наведению порядка, в отличие от тех, которые только пишут письма, критикуя власть всех уровней.  В 2013 году были созданы 5 временных рабочих мест. Работники были задействованы на общественных работах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занимались вырубкой и очисткой парка, брошенных жилых домов. Это проходило в х.Хвощеватое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в с.Ясеновка. Уборка улиц , побелка деревьев  проводилась работниками администрации и культуры. Вместе с населением производили вырубку и очистку кладбищ, расположенных по улице Советская с.Ясеновка и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>агарина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с.Хвощеватое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. Всего на территории поселения 6 кладбищ. Хотелось поблагодарить тех жителей, которые  действительно неравнодушны к 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тому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как выглядит село, в котором они живут.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 В х.Хвощеватое   проводился  ремонт  водопроводных сетей, в результате чего население было обеспечено технической водой с мая по август месяц. Проблема водоснабжения в данном населенном пункте на сегодня остается самой важной.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В 2013 году нам удалось утилизировать ядохимикаты, которые находились в х.Хвощеватое с восьмидесятых лет. Общая сумма затрат составила 234,5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.  вывезено 2т 350кг. ядов. 164,5тыс. рублей  выделено из районного бюджета. Спасибо Николаю Тимофеевичу  Котолевскому за оказанную помощь. Также спонсорскую помощь оказали Понкин В.П. и Винников В.А. в размере 70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>., тоже хотелось поблагодарить их.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В 2013 году нам удалось приобрести всю необход</w:t>
      </w:r>
      <w:r w:rsidR="00E61CC4">
        <w:rPr>
          <w:rFonts w:ascii="Times New Roman" w:hAnsi="Times New Roman" w:cs="Times New Roman"/>
          <w:bCs/>
          <w:sz w:val="24"/>
          <w:szCs w:val="24"/>
        </w:rPr>
        <w:t>имую  музыкальную аппаратуру в Д</w:t>
      </w:r>
      <w:r w:rsidRPr="003F2711">
        <w:rPr>
          <w:rFonts w:ascii="Times New Roman" w:hAnsi="Times New Roman" w:cs="Times New Roman"/>
          <w:bCs/>
          <w:sz w:val="24"/>
          <w:szCs w:val="24"/>
        </w:rPr>
        <w:t>ом культуры с.Ясеновка, а также 15 костюмов</w:t>
      </w:r>
      <w:r w:rsidR="00E61CC4">
        <w:rPr>
          <w:rFonts w:ascii="Times New Roman" w:hAnsi="Times New Roman" w:cs="Times New Roman"/>
          <w:bCs/>
          <w:sz w:val="24"/>
          <w:szCs w:val="24"/>
        </w:rPr>
        <w:t>,</w:t>
      </w: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позволяющими</w:t>
      </w:r>
      <w:bookmarkStart w:id="0" w:name="_GoBack"/>
      <w:bookmarkEnd w:id="0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видеть наших артистов красивыми. На территории поселения были проведены следующие праздники: Новогодний Бал маскарад, Международный женский день, День Победы, День села, День пожилых людей.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В проведении всех  праздничных мероприятий  также активное участие принимает школа, за что им большое спасибо.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  9 мая  очень значимая дата для всех жителей нашей страны и в частности для нашего поселения. 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дню Победы был проведен ремонт памятников погибшим односельчанам в годы Великой Отечественной войны. За счет средств к-за им. «Куйбышева»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ИП КФХ Понкин и ООО «Хвощеватое» приобретен строительный материал , а сам ремонт производился за  счет средств администрации.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 В каждом населенном пункте прошли митинги, возложение венков к памятникам погибшим односельчанам в годы Великой Отечественной войны.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 На территории поселения проживают  3 участника ВОв, два человека приравненных  к участникам ВОв и  10 вдов, которым были вручены пакеты с продуктами. Участие в приобретение этих подарков приняли администрация Ясеновского сельского поселения, к-з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им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>уйбышева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, ИП КФХ Понкин В.П., ООО «Хвощеватое             Ко дню пожилых людей  всем жителям достигшим пенсионного возраста были розданы пакеты с продуктами. Участие в этом приняли: руководители хозяйствующих субъектов Вербицкий А.Н., Понкин В.П., Винников В.А.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В период летних каникул между селами Ясеновка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Медвежье , Хвощеватое проходили соревнования по футболу. Представители Ясеновского сельского поселения принимали участие в спортивных соревнованиях по волейболу между поселениями.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По причине того, что в районе участились случаи пожара в частном секторе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специалистами администрации неоднократно проводился  обход семей социального риска, многодетных, одиноких, престарелых и граждан, злоупотребляющих спиртными напитками.  Проводился инструктаж, были розданы памятки по пожарной безопасности.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Специалистами администрации принимались заявки на талоны по оформлению субсидий на оплату жилья и коммунальных услуг от населения пенсионного возраста. Талоны были доставлены непосредственно в населенные пункты. Проводилась  работа  по подготовке определенного перечня документов на получение данной субсидии.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По причине того, что более 100 человек населения прописаны на территории, но не проживают, доля населения охваченного профилактическими и флюорографическими медицинскими осмотрами за 2013 год составила  - 95 %.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В 2013году одна молодая семья признана 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>нуждающийся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в улучшении жилищных условий.  Был собран пакет документов, и эта семья поставлена на жилищный учет.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Газификация домовладений у нас продолжается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подключено еще 3 жилых дома. 1 домовладение подключено в с. Ясеновка и 2 домовладения  по х. Хвощеватое. Всего газифицировано 214 домовладений,  что составило более 50% от общего числа жилых домов.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Договоренность с хозяйствующими субъектами позволяет видеть наши дороги  очищенными от снега.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 С окончанием 2013 года проблемы наши не закончились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поэтому в 2014 г. планируется :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1. По мере поступления  денежных средств муниципального дорожного фонда продолжить ремонт асфальтового покрытия  дорог местного значения; 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2. Продолжить работу по  восстановлению линий уличного освещения;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3. Оформление невостребованных земельных долей;         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>4. Постоянно проводить благоустройство населенных пунктов, вырубку и очистку территорий кладбищ, содержание в надлежащем виде памятников погибшим односельчанам.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711">
        <w:rPr>
          <w:rFonts w:ascii="Times New Roman" w:hAnsi="Times New Roman" w:cs="Times New Roman"/>
          <w:bCs/>
          <w:sz w:val="24"/>
          <w:szCs w:val="24"/>
        </w:rPr>
        <w:t xml:space="preserve">           В заключении мне хотелось бы  поблагодарить главу администрации Калачеевского муниципального района Николая Тимофеевича </w:t>
      </w:r>
      <w:proofErr w:type="spellStart"/>
      <w:r w:rsidRPr="003F2711">
        <w:rPr>
          <w:rFonts w:ascii="Times New Roman" w:hAnsi="Times New Roman" w:cs="Times New Roman"/>
          <w:bCs/>
          <w:sz w:val="24"/>
          <w:szCs w:val="24"/>
        </w:rPr>
        <w:t>Котолевского</w:t>
      </w:r>
      <w:proofErr w:type="spell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и заместителей главы администрации за ту помощь и поддержку, которая была оказана в 2013 году в финансовом плане, а также руководителей всех областных</w:t>
      </w:r>
      <w:proofErr w:type="gramStart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F2711">
        <w:rPr>
          <w:rFonts w:ascii="Times New Roman" w:hAnsi="Times New Roman" w:cs="Times New Roman"/>
          <w:bCs/>
          <w:sz w:val="24"/>
          <w:szCs w:val="24"/>
        </w:rPr>
        <w:t xml:space="preserve"> федеральных структур  за консультации по возникающим вопросам, направленных на выполнение мероприятий,  улучшение жизни жителей нашего поселения.</w:t>
      </w: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F2711" w:rsidRPr="003F2711" w:rsidRDefault="003F2711" w:rsidP="003F2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3F2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3F2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3F2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3F2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618" w:rsidRPr="003F2711" w:rsidRDefault="005B7618" w:rsidP="003F27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7618" w:rsidRPr="003F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16A4"/>
    <w:multiLevelType w:val="hybridMultilevel"/>
    <w:tmpl w:val="7644A202"/>
    <w:lvl w:ilvl="0" w:tplc="E76A7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5"/>
    <w:rsid w:val="003F2711"/>
    <w:rsid w:val="005B7618"/>
    <w:rsid w:val="00B66B1A"/>
    <w:rsid w:val="00E21695"/>
    <w:rsid w:val="00E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2279</Words>
  <Characters>12992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2014-02-14T05:53:00Z</dcterms:created>
  <dcterms:modified xsi:type="dcterms:W3CDTF">2014-02-14T06:02:00Z</dcterms:modified>
</cp:coreProperties>
</file>