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6" w:rsidRDefault="00180036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228600</wp:posOffset>
            </wp:positionV>
            <wp:extent cx="647065" cy="767715"/>
            <wp:effectExtent l="0" t="0" r="635" b="0"/>
            <wp:wrapSquare wrapText="righ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0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</w:p>
    <w:p w:rsidR="005F5F4D" w:rsidRDefault="005F5F4D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2356E3" w:rsidRDefault="002356E3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2356E3" w:rsidRDefault="002356E3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180036" w:rsidRDefault="00180036" w:rsidP="00180036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8003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52250" w:rsidRPr="00180036" w:rsidRDefault="00752250" w:rsidP="00180036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Клеповского сельского поселения</w:t>
      </w:r>
    </w:p>
    <w:p w:rsidR="00180036" w:rsidRPr="00180036" w:rsidRDefault="00180036" w:rsidP="00180036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180036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180036" w:rsidRPr="00180036" w:rsidRDefault="00180036" w:rsidP="00180036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180036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6B2824" w:rsidRPr="00180036" w:rsidRDefault="00180036" w:rsidP="00180036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180036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РЕШЕНИЕ</w:t>
      </w:r>
    </w:p>
    <w:p w:rsidR="006B2824" w:rsidRPr="00C121FE" w:rsidRDefault="007E6FA2" w:rsidP="006B2824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2824" w:rsidRPr="00C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27.12.2019г. </w:t>
      </w:r>
      <w:r w:rsidR="006B2824" w:rsidRPr="00C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210</w:t>
      </w:r>
    </w:p>
    <w:p w:rsidR="006B2824" w:rsidRPr="006B2824" w:rsidRDefault="00082404" w:rsidP="006B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леповка</w:t>
      </w:r>
      <w:proofErr w:type="spellEnd"/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1" w:tblpY="1"/>
        <w:tblW w:w="0" w:type="auto"/>
        <w:tblLook w:val="0000"/>
      </w:tblPr>
      <w:tblGrid>
        <w:gridCol w:w="6062"/>
      </w:tblGrid>
      <w:tr w:rsidR="00180036" w:rsidTr="00972CE0">
        <w:trPr>
          <w:trHeight w:val="1973"/>
        </w:trPr>
        <w:tc>
          <w:tcPr>
            <w:tcW w:w="6062" w:type="dxa"/>
          </w:tcPr>
          <w:p w:rsidR="00180036" w:rsidRDefault="00180036" w:rsidP="00A8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бюджетном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Клеповском</w:t>
            </w:r>
            <w:proofErr w:type="spellEnd"/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Бутурлиновского</w:t>
            </w:r>
            <w:r w:rsidR="00A86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утвержденное решением Совета народных 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  <w:r w:rsidR="00B7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Клеповского сельского поселения 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Бутурлиновского муниципального района от 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</w:t>
            </w:r>
          </w:p>
        </w:tc>
      </w:tr>
    </w:tbl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6B2824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85" w:rsidRDefault="00F86385" w:rsidP="00F8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85" w:rsidRDefault="00F86385" w:rsidP="00F8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85" w:rsidRDefault="00F86385" w:rsidP="00F8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AC" w:rsidRPr="0041192E" w:rsidRDefault="00D209AC" w:rsidP="00F86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</w:t>
      </w:r>
      <w:r w:rsidR="0027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Клеповского сельского поселения 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Воронежской области в соответствие требованиям действующего законодательства, </w:t>
      </w:r>
      <w:r w:rsidR="00543171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26A4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народных депутатов 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 сельского поселения</w:t>
      </w:r>
    </w:p>
    <w:p w:rsidR="002356E3" w:rsidRDefault="002356E3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41192E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6B2824" w:rsidRPr="0041192E" w:rsidRDefault="006B2824" w:rsidP="000E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6B2824" w:rsidP="000E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A3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Клеповском</w:t>
      </w:r>
      <w:proofErr w:type="spellEnd"/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Совета народных депутатов 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Клеповского сельского поселения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4F0F5F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</w:t>
      </w:r>
      <w:r w:rsidR="0069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ED1281" w:rsidRPr="0041192E" w:rsidRDefault="00ED1281" w:rsidP="00ED1281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Статью 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«Обслуживание муниципального долга» изложить в следующей редакции:</w:t>
      </w:r>
    </w:p>
    <w:p w:rsidR="000A4786" w:rsidRPr="0041192E" w:rsidRDefault="00ED1281" w:rsidP="000A4786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Обслуживание муниципального долга.</w:t>
      </w:r>
    </w:p>
    <w:p w:rsidR="00ED1281" w:rsidRPr="0041192E" w:rsidRDefault="00ED1281" w:rsidP="000A4786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Под обслуживанием муниципального долга 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понимаются операции по выплате доходов по муниципальным долговым обязательствам 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 в виде процентов по ним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осуществляемые за счет средств  бюджета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1281" w:rsidRPr="0041192E" w:rsidRDefault="00ED1281" w:rsidP="00ED1281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Выполнение кредитной организацией или другой специализированной финансовой организацией функций генерального агента (агента) исполнительного органа власти 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размещению, выкупу, обмену долговых обязательств 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на основе муниципального контракта, заключенного с администрацией 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1281" w:rsidRPr="0041192E" w:rsidRDefault="00ED1281" w:rsidP="00ED1281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.3. Оплата услуг агентов по осуществлению ими функций, предусмотренных муниципальными контрактами, заключенными с администрацией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производится за счет средств  бюджета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3F5E" w:rsidRPr="0041192E" w:rsidRDefault="00ED1281" w:rsidP="00375DCF">
      <w:pPr>
        <w:pStyle w:val="ConsPlusNormal"/>
        <w:widowControl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proofErr w:type="gramStart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расходов на обслуживание муниципального долга 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очередном финансовом году и плановом периоде устанавливается решением Совета народных депутатов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Клеповского сельского поселения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Бутурлиновского муниципального района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970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107 (применяемой к правоотношениям, возникающим при составлении, утверждении и исполнении бюджета</w:t>
      </w:r>
      <w:r w:rsidR="00970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Клеповского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начиная с бюджета на 2021 год и на плановый период</w:t>
      </w:r>
      <w:proofErr w:type="gramEnd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2022 - 2023 годов) и</w:t>
      </w:r>
      <w:r w:rsidR="00F86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111 .</w:t>
      </w:r>
      <w:proofErr w:type="gramEnd"/>
    </w:p>
    <w:p w:rsidR="00C9772A" w:rsidRPr="0041192E" w:rsidRDefault="00501DA7" w:rsidP="00F86385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4786" w:rsidRPr="004119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2404">
        <w:rPr>
          <w:rFonts w:ascii="Times New Roman" w:hAnsi="Times New Roman" w:cs="Times New Roman"/>
          <w:sz w:val="28"/>
          <w:szCs w:val="28"/>
        </w:rPr>
        <w:t xml:space="preserve"> </w:t>
      </w:r>
      <w:r w:rsidR="000A4786" w:rsidRPr="0041192E">
        <w:rPr>
          <w:rFonts w:ascii="Times New Roman" w:hAnsi="Times New Roman" w:cs="Times New Roman"/>
          <w:sz w:val="28"/>
          <w:szCs w:val="28"/>
        </w:rPr>
        <w:t>д</w:t>
      </w:r>
      <w:r w:rsidR="00C9772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стать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6902D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«Перечень и оценка налоговых расходов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="006902D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содержания: </w:t>
      </w:r>
    </w:p>
    <w:p w:rsidR="000A4786" w:rsidRPr="0041192E" w:rsidRDefault="000A4786" w:rsidP="00F8638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«Перечень и оценка налоговых расходов 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46851" w:rsidRPr="0041192E" w:rsidRDefault="000A4786" w:rsidP="00E71FD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формируется в порядке, установленном администрацией</w:t>
      </w:r>
      <w:r w:rsidR="00746851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разрезе муниципальных программ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746851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A436E" w:rsidRPr="0041192E" w:rsidRDefault="000A4786" w:rsidP="00E71FD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налоговых расходов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3A436E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ежегодно в порядке, установленном </w:t>
      </w:r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3A436E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501DA7">
        <w:rPr>
          <w:rFonts w:ascii="Times New Roman" w:hAnsi="Times New Roman" w:cs="Times New Roman"/>
          <w:sz w:val="28"/>
          <w:szCs w:val="28"/>
        </w:rPr>
        <w:t xml:space="preserve">Клеповского сельского поселения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общих требований, установленных Правительством Российской Федерации. </w:t>
      </w:r>
    </w:p>
    <w:p w:rsidR="004455D1" w:rsidRPr="0041192E" w:rsidRDefault="00746851" w:rsidP="003A43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при проведении </w:t>
      </w:r>
      <w:proofErr w:type="gramStart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оценки эффективности реализации </w:t>
      </w:r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proofErr w:type="gramEnd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DA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C9772A" w:rsidRPr="0041192E" w:rsidRDefault="00501DA7" w:rsidP="00501DA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72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A9B" w:rsidRPr="0041192E">
        <w:rPr>
          <w:rFonts w:ascii="Times New Roman" w:hAnsi="Times New Roman" w:cs="Times New Roman"/>
          <w:sz w:val="28"/>
          <w:szCs w:val="28"/>
        </w:rPr>
        <w:t xml:space="preserve">Наименование статьи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F31A9B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C9772A" w:rsidRPr="0041192E">
        <w:rPr>
          <w:rFonts w:ascii="Times New Roman" w:hAnsi="Times New Roman" w:cs="Times New Roman"/>
          <w:sz w:val="28"/>
          <w:szCs w:val="28"/>
        </w:rPr>
        <w:t xml:space="preserve">«Состав обязательных показателей решения Совета народных депутатов </w:t>
      </w:r>
      <w:r w:rsidR="00970727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C9772A" w:rsidRPr="0041192E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970727">
        <w:rPr>
          <w:rFonts w:ascii="Times New Roman" w:hAnsi="Times New Roman" w:cs="Times New Roman"/>
          <w:sz w:val="28"/>
          <w:szCs w:val="28"/>
        </w:rPr>
        <w:t xml:space="preserve"> Клеповского сельского</w:t>
      </w:r>
      <w:proofErr w:type="gramStart"/>
      <w:r w:rsidR="00C9772A" w:rsidRPr="0041192E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C9772A" w:rsidRPr="0041192E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C9772A" w:rsidRPr="004119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0727">
        <w:rPr>
          <w:rFonts w:ascii="Times New Roman" w:hAnsi="Times New Roman" w:cs="Times New Roman"/>
          <w:sz w:val="28"/>
          <w:szCs w:val="28"/>
        </w:rPr>
        <w:t xml:space="preserve"> </w:t>
      </w:r>
      <w:r w:rsidR="00F31A9B" w:rsidRPr="0041192E">
        <w:rPr>
          <w:rFonts w:ascii="Times New Roman" w:hAnsi="Times New Roman" w:cs="Times New Roman"/>
          <w:sz w:val="28"/>
          <w:szCs w:val="28"/>
        </w:rPr>
        <w:t>изложить</w:t>
      </w:r>
      <w:r w:rsidR="00B12C46">
        <w:rPr>
          <w:rFonts w:ascii="Times New Roman" w:hAnsi="Times New Roman" w:cs="Times New Roman"/>
          <w:sz w:val="28"/>
          <w:szCs w:val="28"/>
        </w:rPr>
        <w:t xml:space="preserve"> </w:t>
      </w:r>
      <w:r w:rsidR="00F31A9B" w:rsidRPr="0041192E">
        <w:rPr>
          <w:rFonts w:ascii="Times New Roman" w:hAnsi="Times New Roman" w:cs="Times New Roman"/>
          <w:sz w:val="28"/>
          <w:szCs w:val="28"/>
        </w:rPr>
        <w:t>в новой редакции</w:t>
      </w:r>
      <w:r w:rsidR="00C9772A" w:rsidRPr="0041192E">
        <w:rPr>
          <w:rFonts w:ascii="Times New Roman" w:hAnsi="Times New Roman" w:cs="Times New Roman"/>
          <w:sz w:val="28"/>
          <w:szCs w:val="28"/>
        </w:rPr>
        <w:t>:</w:t>
      </w:r>
    </w:p>
    <w:p w:rsidR="00F31A9B" w:rsidRPr="0041192E" w:rsidRDefault="00F31A9B" w:rsidP="00C9772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«</w:t>
      </w:r>
      <w:r w:rsidR="00970727">
        <w:rPr>
          <w:rFonts w:ascii="Times New Roman" w:hAnsi="Times New Roman" w:cs="Times New Roman"/>
          <w:sz w:val="28"/>
          <w:szCs w:val="28"/>
        </w:rPr>
        <w:t>43</w:t>
      </w:r>
      <w:r w:rsidR="00C9772A" w:rsidRPr="0041192E">
        <w:rPr>
          <w:rFonts w:ascii="Times New Roman" w:hAnsi="Times New Roman" w:cs="Times New Roman"/>
          <w:sz w:val="28"/>
          <w:szCs w:val="28"/>
        </w:rPr>
        <w:t xml:space="preserve">. </w:t>
      </w:r>
      <w:r w:rsidRPr="0041192E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представляемых для рассмотрения и утверждения в решении Совета народных депутатов </w:t>
      </w:r>
      <w:r w:rsidR="00970727">
        <w:rPr>
          <w:rFonts w:ascii="Times New Roman" w:hAnsi="Times New Roman" w:cs="Times New Roman"/>
          <w:sz w:val="28"/>
          <w:szCs w:val="28"/>
        </w:rPr>
        <w:t>Клеповского сельского поселения о бюджете 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>»</w:t>
      </w:r>
      <w:r w:rsidR="00C9772A" w:rsidRPr="0041192E">
        <w:rPr>
          <w:rFonts w:ascii="Times New Roman" w:hAnsi="Times New Roman" w:cs="Times New Roman"/>
          <w:sz w:val="28"/>
          <w:szCs w:val="28"/>
        </w:rPr>
        <w:t>.</w:t>
      </w:r>
    </w:p>
    <w:p w:rsidR="00AA2705" w:rsidRPr="0041192E" w:rsidRDefault="00970727" w:rsidP="0097072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5206E" w:rsidRPr="0041192E">
        <w:rPr>
          <w:rFonts w:ascii="Times New Roman" w:hAnsi="Times New Roman" w:cs="Times New Roman"/>
          <w:sz w:val="28"/>
          <w:szCs w:val="28"/>
        </w:rPr>
        <w:t>В части</w:t>
      </w:r>
      <w:r w:rsidR="00AA2705" w:rsidRPr="0041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D01007">
        <w:rPr>
          <w:rFonts w:ascii="Times New Roman" w:hAnsi="Times New Roman" w:cs="Times New Roman"/>
          <w:sz w:val="28"/>
          <w:szCs w:val="28"/>
        </w:rPr>
        <w:t>.2</w:t>
      </w:r>
      <w:r w:rsidR="00AA2705" w:rsidRPr="0041192E">
        <w:rPr>
          <w:rFonts w:ascii="Times New Roman" w:hAnsi="Times New Roman" w:cs="Times New Roman"/>
          <w:sz w:val="28"/>
          <w:szCs w:val="28"/>
        </w:rPr>
        <w:t xml:space="preserve">. статьи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A2705" w:rsidRPr="0041192E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4455D1" w:rsidRPr="0041192E" w:rsidRDefault="00AA2705" w:rsidP="00AA27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«- перечень иных межбюджетных трансфертов, предоставляемых из районного бюджета в целях </w:t>
      </w:r>
      <w:proofErr w:type="spellStart"/>
      <w:r w:rsidRPr="004119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1192E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proofErr w:type="gramStart"/>
      <w:r w:rsidRPr="004119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772A" w:rsidRPr="0041192E">
        <w:rPr>
          <w:rFonts w:ascii="Times New Roman" w:hAnsi="Times New Roman" w:cs="Times New Roman"/>
          <w:sz w:val="28"/>
          <w:szCs w:val="28"/>
        </w:rPr>
        <w:t>.</w:t>
      </w:r>
    </w:p>
    <w:p w:rsidR="0033486F" w:rsidRPr="0041192E" w:rsidRDefault="006B59C3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1.</w:t>
      </w:r>
      <w:r w:rsidR="00970727">
        <w:rPr>
          <w:rFonts w:ascii="Times New Roman" w:hAnsi="Times New Roman" w:cs="Times New Roman"/>
          <w:sz w:val="28"/>
          <w:szCs w:val="28"/>
        </w:rPr>
        <w:t>5</w:t>
      </w:r>
      <w:r w:rsidRPr="0041192E">
        <w:rPr>
          <w:rFonts w:ascii="Times New Roman" w:hAnsi="Times New Roman" w:cs="Times New Roman"/>
          <w:sz w:val="28"/>
          <w:szCs w:val="28"/>
        </w:rPr>
        <w:t>.</w:t>
      </w:r>
      <w:r w:rsidR="00E5206E" w:rsidRPr="0041192E">
        <w:rPr>
          <w:rFonts w:ascii="Times New Roman" w:hAnsi="Times New Roman" w:cs="Times New Roman"/>
          <w:sz w:val="28"/>
          <w:szCs w:val="28"/>
        </w:rPr>
        <w:t>Р</w:t>
      </w:r>
      <w:r w:rsidR="00374A0C" w:rsidRPr="0041192E">
        <w:rPr>
          <w:rFonts w:ascii="Times New Roman" w:hAnsi="Times New Roman" w:cs="Times New Roman"/>
          <w:sz w:val="28"/>
          <w:szCs w:val="28"/>
        </w:rPr>
        <w:t>аздел</w:t>
      </w:r>
      <w:r w:rsidR="00BC1BFF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3486F" w:rsidRPr="004119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5206E" w:rsidRPr="0041192E" w:rsidRDefault="00E5206E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«X. МУНИЦИПАЛЬНЫЙ ФИНАНСОВЫЙ КОНТРОЛЬ</w:t>
      </w:r>
    </w:p>
    <w:p w:rsidR="006B59C3" w:rsidRPr="0041192E" w:rsidRDefault="00970727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B59C3" w:rsidRPr="0041192E">
        <w:rPr>
          <w:rFonts w:ascii="Times New Roman" w:hAnsi="Times New Roman" w:cs="Times New Roman"/>
          <w:sz w:val="28"/>
          <w:szCs w:val="28"/>
        </w:rPr>
        <w:t>. Осуществление муниципального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</w:p>
    <w:p w:rsidR="006B59C3" w:rsidRPr="0041192E" w:rsidRDefault="006B59C3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в соответствии с положениями Бюджетного кодекса Российской Федерации. </w:t>
      </w:r>
    </w:p>
    <w:p w:rsidR="006B59C3" w:rsidRPr="0041192E" w:rsidRDefault="00970727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. Внешний </w:t>
      </w:r>
      <w:r w:rsidR="006B59C3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="00E5206E"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820756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="00F50CC7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</w:t>
      </w:r>
      <w:r w:rsidR="00820756">
        <w:rPr>
          <w:rFonts w:ascii="Times New Roman" w:hAnsi="Times New Roman" w:cs="Times New Roman"/>
          <w:sz w:val="28"/>
          <w:szCs w:val="28"/>
        </w:rPr>
        <w:t>ся настоящим Положением, иными актами бюджетного закон</w:t>
      </w:r>
      <w:r w:rsidR="00570B49">
        <w:rPr>
          <w:rFonts w:ascii="Times New Roman" w:hAnsi="Times New Roman" w:cs="Times New Roman"/>
          <w:sz w:val="28"/>
          <w:szCs w:val="28"/>
        </w:rPr>
        <w:t>о</w:t>
      </w:r>
      <w:r w:rsidR="00820756">
        <w:rPr>
          <w:rFonts w:ascii="Times New Roman" w:hAnsi="Times New Roman" w:cs="Times New Roman"/>
          <w:sz w:val="28"/>
          <w:szCs w:val="28"/>
        </w:rPr>
        <w:t>дательства.</w:t>
      </w:r>
      <w:r w:rsidRPr="0041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14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. Внутренний </w:t>
      </w:r>
      <w:r w:rsidR="00C87714" w:rsidRPr="004119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</w:p>
    <w:p w:rsidR="00C41598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87714" w:rsidRPr="0041192E">
        <w:rPr>
          <w:rFonts w:ascii="Times New Roman" w:hAnsi="Times New Roman" w:cs="Times New Roman"/>
          <w:sz w:val="28"/>
          <w:szCs w:val="28"/>
        </w:rPr>
        <w:t>.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1. Внутренний </w:t>
      </w:r>
      <w:r w:rsidR="00C41598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Клеповского сельского поселения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стандартами, утвержденными нормативными правовыми актами Правите</w:t>
      </w:r>
      <w:r w:rsidR="00C41598" w:rsidRPr="0041192E">
        <w:rPr>
          <w:rFonts w:ascii="Times New Roman" w:hAnsi="Times New Roman" w:cs="Times New Roman"/>
          <w:sz w:val="28"/>
          <w:szCs w:val="28"/>
        </w:rPr>
        <w:t xml:space="preserve">льства Российской Федерации. </w:t>
      </w:r>
    </w:p>
    <w:p w:rsidR="00C87714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Клеповского сельского поселения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может издавать ведомственные правовые акты (стандарты), обеспечивающие осуществление полномочий по внутреннему </w:t>
      </w:r>
      <w:r w:rsidR="006B5D68" w:rsidRPr="0041192E">
        <w:rPr>
          <w:rFonts w:ascii="Times New Roman" w:hAnsi="Times New Roman" w:cs="Times New Roman"/>
          <w:sz w:val="28"/>
          <w:szCs w:val="28"/>
        </w:rPr>
        <w:t>муниципальному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финансовому контролю, в случаях, предусмотренных федеральными стандартами внутреннего </w:t>
      </w:r>
      <w:r w:rsidR="006B5D68" w:rsidRPr="0041192E">
        <w:rPr>
          <w:rFonts w:ascii="Times New Roman" w:hAnsi="Times New Roman" w:cs="Times New Roman"/>
          <w:sz w:val="28"/>
          <w:szCs w:val="28"/>
        </w:rPr>
        <w:t>муниципального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C87714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87714" w:rsidRPr="0041192E">
        <w:rPr>
          <w:rFonts w:ascii="Times New Roman" w:hAnsi="Times New Roman" w:cs="Times New Roman"/>
          <w:sz w:val="28"/>
          <w:szCs w:val="28"/>
        </w:rPr>
        <w:t>.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2. Полномочиями 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финансового контроля является контроль: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="00023CE5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23CE5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Pr="0041192E">
        <w:rPr>
          <w:rFonts w:ascii="Times New Roman" w:hAnsi="Times New Roman" w:cs="Times New Roman"/>
          <w:sz w:val="28"/>
          <w:szCs w:val="28"/>
        </w:rPr>
        <w:t xml:space="preserve">контрактов;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7F7625" w:rsidRPr="004119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192E">
        <w:rPr>
          <w:rFonts w:ascii="Times New Roman" w:hAnsi="Times New Roman" w:cs="Times New Roman"/>
          <w:sz w:val="28"/>
          <w:szCs w:val="28"/>
        </w:rPr>
        <w:t xml:space="preserve">контрактов;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областного бюджета), в том числе отчетов о реализации </w:t>
      </w:r>
      <w:r w:rsidR="007F7625" w:rsidRPr="004119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192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23CE5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Pr="0041192E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Pr="0041192E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1192E">
        <w:rPr>
          <w:rFonts w:ascii="Times New Roman" w:hAnsi="Times New Roman" w:cs="Times New Roman"/>
          <w:sz w:val="28"/>
          <w:szCs w:val="28"/>
        </w:rPr>
        <w:t xml:space="preserve"> из бюджета; </w:t>
      </w:r>
    </w:p>
    <w:p w:rsidR="006833E8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Главные распорядители, распорядители и получатели средств </w:t>
      </w:r>
      <w:r w:rsidR="006833E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>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доходов  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6833E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>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Клеповского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 осуществляют на основе функциональной независимости внутренний финансовый аудит в целях: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1192E">
        <w:rPr>
          <w:rFonts w:ascii="Times New Roman" w:hAnsi="Times New Roman" w:cs="Times New Roman"/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  <w:proofErr w:type="gramEnd"/>
    </w:p>
    <w:p w:rsidR="00222175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3) повышения качества финансового менеджмента</w:t>
      </w:r>
      <w:proofErr w:type="gramStart"/>
      <w:r w:rsidRPr="004119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3CE5" w:rsidRDefault="00222175" w:rsidP="00023C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2. </w:t>
      </w:r>
      <w:r w:rsidR="00023CE5" w:rsidRPr="00023CE5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Вестнике муниципальных правовых актов Клеповского сельского поселения.</w:t>
      </w:r>
    </w:p>
    <w:p w:rsidR="006833E8" w:rsidRPr="0041192E" w:rsidRDefault="00CB00B7" w:rsidP="00023C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</w:t>
      </w:r>
      <w:r w:rsid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для которых настоящим</w:t>
      </w:r>
      <w:r w:rsidR="0002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установлены иные сроки вступления их в силу: </w:t>
      </w:r>
    </w:p>
    <w:p w:rsidR="006833E8" w:rsidRPr="0041192E" w:rsidRDefault="006833E8" w:rsidP="006833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5C008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1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C008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народных депутатов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 сельского поселения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31августа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Положения о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Клеповском</w:t>
      </w:r>
      <w:proofErr w:type="spellEnd"/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Воронежской области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настоящего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340A4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 сельского поселения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вступают в силу с 1 июля 2020 года. </w:t>
      </w:r>
      <w:proofErr w:type="gramEnd"/>
    </w:p>
    <w:p w:rsidR="00CB00B7" w:rsidRPr="0041192E" w:rsidRDefault="00CB00B7" w:rsidP="00197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B" w:rsidRDefault="000B25A4" w:rsidP="007E4B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Глава Клеповского</w:t>
      </w:r>
    </w:p>
    <w:p w:rsidR="000B25A4" w:rsidRPr="007E4BEE" w:rsidRDefault="000B25A4" w:rsidP="007E4B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Ю.И. Подлесных</w:t>
      </w:r>
    </w:p>
    <w:sectPr w:rsidR="000B25A4" w:rsidRPr="007E4BEE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866"/>
    <w:multiLevelType w:val="hybridMultilevel"/>
    <w:tmpl w:val="B9D6D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0236134"/>
    <w:multiLevelType w:val="multilevel"/>
    <w:tmpl w:val="A6B88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6B48F5"/>
    <w:multiLevelType w:val="multilevel"/>
    <w:tmpl w:val="65A6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6AC7B4E"/>
    <w:multiLevelType w:val="multilevel"/>
    <w:tmpl w:val="61CA0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44CF2"/>
    <w:multiLevelType w:val="hybridMultilevel"/>
    <w:tmpl w:val="DB863504"/>
    <w:lvl w:ilvl="0" w:tplc="28220AAC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2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5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79853C51"/>
    <w:multiLevelType w:val="multilevel"/>
    <w:tmpl w:val="56D48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7"/>
  </w:num>
  <w:num w:numId="5">
    <w:abstractNumId w:val="15"/>
  </w:num>
  <w:num w:numId="6">
    <w:abstractNumId w:val="20"/>
  </w:num>
  <w:num w:numId="7">
    <w:abstractNumId w:val="12"/>
  </w:num>
  <w:num w:numId="8">
    <w:abstractNumId w:val="11"/>
  </w:num>
  <w:num w:numId="9">
    <w:abstractNumId w:val="24"/>
  </w:num>
  <w:num w:numId="10">
    <w:abstractNumId w:val="13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23"/>
  </w:num>
  <w:num w:numId="18">
    <w:abstractNumId w:val="26"/>
  </w:num>
  <w:num w:numId="19">
    <w:abstractNumId w:val="1"/>
  </w:num>
  <w:num w:numId="20">
    <w:abstractNumId w:val="3"/>
  </w:num>
  <w:num w:numId="21">
    <w:abstractNumId w:val="0"/>
  </w:num>
  <w:num w:numId="22">
    <w:abstractNumId w:val="18"/>
  </w:num>
  <w:num w:numId="23">
    <w:abstractNumId w:val="25"/>
  </w:num>
  <w:num w:numId="24">
    <w:abstractNumId w:val="9"/>
  </w:num>
  <w:num w:numId="25">
    <w:abstractNumId w:val="2"/>
  </w:num>
  <w:num w:numId="26">
    <w:abstractNumId w:val="14"/>
  </w:num>
  <w:num w:numId="27">
    <w:abstractNumId w:val="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D575A"/>
    <w:rsid w:val="000055C3"/>
    <w:rsid w:val="00023CE5"/>
    <w:rsid w:val="000255C7"/>
    <w:rsid w:val="000407D2"/>
    <w:rsid w:val="00053902"/>
    <w:rsid w:val="00082404"/>
    <w:rsid w:val="000A4786"/>
    <w:rsid w:val="000B25A4"/>
    <w:rsid w:val="000E3630"/>
    <w:rsid w:val="00123B4E"/>
    <w:rsid w:val="0012599C"/>
    <w:rsid w:val="0016419D"/>
    <w:rsid w:val="0016705D"/>
    <w:rsid w:val="00173019"/>
    <w:rsid w:val="00180036"/>
    <w:rsid w:val="001844F9"/>
    <w:rsid w:val="0019780B"/>
    <w:rsid w:val="001A2105"/>
    <w:rsid w:val="001B488E"/>
    <w:rsid w:val="001C0A48"/>
    <w:rsid w:val="001C5C7B"/>
    <w:rsid w:val="001D3EA5"/>
    <w:rsid w:val="001F3D72"/>
    <w:rsid w:val="00214CCA"/>
    <w:rsid w:val="00215F9D"/>
    <w:rsid w:val="00222175"/>
    <w:rsid w:val="002356E3"/>
    <w:rsid w:val="0025399C"/>
    <w:rsid w:val="002545CD"/>
    <w:rsid w:val="00277449"/>
    <w:rsid w:val="00277C6E"/>
    <w:rsid w:val="00284366"/>
    <w:rsid w:val="002B68E6"/>
    <w:rsid w:val="002C73A4"/>
    <w:rsid w:val="002E10A7"/>
    <w:rsid w:val="002E4019"/>
    <w:rsid w:val="002E5638"/>
    <w:rsid w:val="0033486F"/>
    <w:rsid w:val="00335E20"/>
    <w:rsid w:val="00350B23"/>
    <w:rsid w:val="00374A0C"/>
    <w:rsid w:val="00375DCF"/>
    <w:rsid w:val="003A436E"/>
    <w:rsid w:val="003C417F"/>
    <w:rsid w:val="003D4131"/>
    <w:rsid w:val="003D6C15"/>
    <w:rsid w:val="003D72ED"/>
    <w:rsid w:val="003E26A4"/>
    <w:rsid w:val="00405F9D"/>
    <w:rsid w:val="0041192E"/>
    <w:rsid w:val="004455D1"/>
    <w:rsid w:val="0046302B"/>
    <w:rsid w:val="00465BC4"/>
    <w:rsid w:val="00480C48"/>
    <w:rsid w:val="004B3534"/>
    <w:rsid w:val="004D523E"/>
    <w:rsid w:val="004E4059"/>
    <w:rsid w:val="004F0F5F"/>
    <w:rsid w:val="004F19D0"/>
    <w:rsid w:val="004F398A"/>
    <w:rsid w:val="00501DA7"/>
    <w:rsid w:val="00543171"/>
    <w:rsid w:val="005450F5"/>
    <w:rsid w:val="00554011"/>
    <w:rsid w:val="00556585"/>
    <w:rsid w:val="0055760F"/>
    <w:rsid w:val="00570B49"/>
    <w:rsid w:val="00591EED"/>
    <w:rsid w:val="005A3224"/>
    <w:rsid w:val="005A4FCC"/>
    <w:rsid w:val="005A5BCB"/>
    <w:rsid w:val="005B1E7B"/>
    <w:rsid w:val="005B2ABE"/>
    <w:rsid w:val="005C0087"/>
    <w:rsid w:val="005C60EE"/>
    <w:rsid w:val="005D18D1"/>
    <w:rsid w:val="005D25DD"/>
    <w:rsid w:val="005F5F4D"/>
    <w:rsid w:val="0060529D"/>
    <w:rsid w:val="00626EC5"/>
    <w:rsid w:val="00640281"/>
    <w:rsid w:val="00657C18"/>
    <w:rsid w:val="00671500"/>
    <w:rsid w:val="006751D1"/>
    <w:rsid w:val="00676536"/>
    <w:rsid w:val="006833E8"/>
    <w:rsid w:val="006902DA"/>
    <w:rsid w:val="006920CF"/>
    <w:rsid w:val="00696E0A"/>
    <w:rsid w:val="006A23FD"/>
    <w:rsid w:val="006B2824"/>
    <w:rsid w:val="006B59C3"/>
    <w:rsid w:val="006B5D68"/>
    <w:rsid w:val="006E1418"/>
    <w:rsid w:val="006F1B42"/>
    <w:rsid w:val="007019D0"/>
    <w:rsid w:val="007038C3"/>
    <w:rsid w:val="00726051"/>
    <w:rsid w:val="00733C29"/>
    <w:rsid w:val="00746851"/>
    <w:rsid w:val="007469F1"/>
    <w:rsid w:val="00752250"/>
    <w:rsid w:val="00785036"/>
    <w:rsid w:val="00791E83"/>
    <w:rsid w:val="007A0B99"/>
    <w:rsid w:val="007A3A7D"/>
    <w:rsid w:val="007E4BEE"/>
    <w:rsid w:val="007E6FA2"/>
    <w:rsid w:val="007F2296"/>
    <w:rsid w:val="007F7625"/>
    <w:rsid w:val="00804BA3"/>
    <w:rsid w:val="00820756"/>
    <w:rsid w:val="008279D0"/>
    <w:rsid w:val="008337C5"/>
    <w:rsid w:val="0087791D"/>
    <w:rsid w:val="008A17FE"/>
    <w:rsid w:val="008A423C"/>
    <w:rsid w:val="008B110F"/>
    <w:rsid w:val="008B68E6"/>
    <w:rsid w:val="008C6F0E"/>
    <w:rsid w:val="008C74C8"/>
    <w:rsid w:val="008E3A22"/>
    <w:rsid w:val="00915A37"/>
    <w:rsid w:val="00932BFA"/>
    <w:rsid w:val="00941A90"/>
    <w:rsid w:val="00965C7F"/>
    <w:rsid w:val="009672D9"/>
    <w:rsid w:val="00970727"/>
    <w:rsid w:val="00972CE0"/>
    <w:rsid w:val="009843B6"/>
    <w:rsid w:val="0099602D"/>
    <w:rsid w:val="009C7E44"/>
    <w:rsid w:val="009F08D6"/>
    <w:rsid w:val="009F0AB0"/>
    <w:rsid w:val="00A034E8"/>
    <w:rsid w:val="00A10C0E"/>
    <w:rsid w:val="00A369AB"/>
    <w:rsid w:val="00A459AE"/>
    <w:rsid w:val="00A553D9"/>
    <w:rsid w:val="00A80B21"/>
    <w:rsid w:val="00A86BE6"/>
    <w:rsid w:val="00A9578B"/>
    <w:rsid w:val="00AA2705"/>
    <w:rsid w:val="00AA4DF6"/>
    <w:rsid w:val="00AB7364"/>
    <w:rsid w:val="00AC5454"/>
    <w:rsid w:val="00AC64B9"/>
    <w:rsid w:val="00AD4C74"/>
    <w:rsid w:val="00AF36B3"/>
    <w:rsid w:val="00B029D0"/>
    <w:rsid w:val="00B12C46"/>
    <w:rsid w:val="00B15140"/>
    <w:rsid w:val="00B340A4"/>
    <w:rsid w:val="00B4783F"/>
    <w:rsid w:val="00B725AA"/>
    <w:rsid w:val="00B92123"/>
    <w:rsid w:val="00B92A55"/>
    <w:rsid w:val="00BC1BFF"/>
    <w:rsid w:val="00BD3DCD"/>
    <w:rsid w:val="00C029AF"/>
    <w:rsid w:val="00C10D6D"/>
    <w:rsid w:val="00C121FE"/>
    <w:rsid w:val="00C23F9D"/>
    <w:rsid w:val="00C41598"/>
    <w:rsid w:val="00C43A8F"/>
    <w:rsid w:val="00C5441D"/>
    <w:rsid w:val="00C817B3"/>
    <w:rsid w:val="00C87714"/>
    <w:rsid w:val="00C9772A"/>
    <w:rsid w:val="00CB00B7"/>
    <w:rsid w:val="00CB254D"/>
    <w:rsid w:val="00CB2AFA"/>
    <w:rsid w:val="00CB3BF7"/>
    <w:rsid w:val="00CD575A"/>
    <w:rsid w:val="00CD73B2"/>
    <w:rsid w:val="00CF5D31"/>
    <w:rsid w:val="00D01007"/>
    <w:rsid w:val="00D07CAC"/>
    <w:rsid w:val="00D209AC"/>
    <w:rsid w:val="00D35A07"/>
    <w:rsid w:val="00D46231"/>
    <w:rsid w:val="00D744B3"/>
    <w:rsid w:val="00D74F81"/>
    <w:rsid w:val="00D91405"/>
    <w:rsid w:val="00DB03B5"/>
    <w:rsid w:val="00DB4F27"/>
    <w:rsid w:val="00DC0AFA"/>
    <w:rsid w:val="00DF3258"/>
    <w:rsid w:val="00E00343"/>
    <w:rsid w:val="00E03FA5"/>
    <w:rsid w:val="00E048CA"/>
    <w:rsid w:val="00E13774"/>
    <w:rsid w:val="00E237B5"/>
    <w:rsid w:val="00E24631"/>
    <w:rsid w:val="00E350D7"/>
    <w:rsid w:val="00E3657C"/>
    <w:rsid w:val="00E435AE"/>
    <w:rsid w:val="00E5206E"/>
    <w:rsid w:val="00E56660"/>
    <w:rsid w:val="00E66EFD"/>
    <w:rsid w:val="00E71FDC"/>
    <w:rsid w:val="00E77BFF"/>
    <w:rsid w:val="00E86654"/>
    <w:rsid w:val="00E907E6"/>
    <w:rsid w:val="00E93936"/>
    <w:rsid w:val="00EA790C"/>
    <w:rsid w:val="00EB2B13"/>
    <w:rsid w:val="00EC1345"/>
    <w:rsid w:val="00EC4437"/>
    <w:rsid w:val="00ED095B"/>
    <w:rsid w:val="00ED1281"/>
    <w:rsid w:val="00EE23F2"/>
    <w:rsid w:val="00EF0C9B"/>
    <w:rsid w:val="00F01237"/>
    <w:rsid w:val="00F03F5E"/>
    <w:rsid w:val="00F12217"/>
    <w:rsid w:val="00F22A63"/>
    <w:rsid w:val="00F24ECF"/>
    <w:rsid w:val="00F3007E"/>
    <w:rsid w:val="00F31A9B"/>
    <w:rsid w:val="00F36C7B"/>
    <w:rsid w:val="00F50CC7"/>
    <w:rsid w:val="00F71AD3"/>
    <w:rsid w:val="00F86385"/>
    <w:rsid w:val="00FB03F0"/>
    <w:rsid w:val="00FC2262"/>
    <w:rsid w:val="00FC2D04"/>
    <w:rsid w:val="00FC442F"/>
    <w:rsid w:val="00FC63C3"/>
    <w:rsid w:val="00FD745E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67EF-472F-4E48-88F3-2B21444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Воронежской области</vt:lpstr>
      <vt:lpstr>    РЕШЕНИЕ</vt:lpstr>
      <vt:lpstr>    1.1.	Статью 33 «Обслуживание муниципального долга» изложить в следующей редакции</vt:lpstr>
      <vt:lpstr>    «33. Обслуживание муниципального долга.</vt:lpstr>
      <vt:lpstr>    33.1. Под обслуживанием муниципального долга Клеповского сельского поселения пон</vt:lpstr>
      <vt:lpstr>    33.2. Выполнение кредитной организацией или другой специализированной финансово</vt:lpstr>
      <vt:lpstr>    33.3. Оплата услуг агентов по осуществлению ими функций, предусмотренных муницип</vt:lpstr>
      <vt:lpstr>    33.4. Объем расходов на обслуживание муниципального долга Клеповского сельского </vt:lpstr>
      <vt:lpstr>    1.3.Наименование статьи 43 «Состав обязательных показателей решения Совета народ</vt:lpstr>
      <vt:lpstr>    «43. Состав показателей, представляемых для рассмотрения и утверждения в решении</vt:lpstr>
      <vt:lpstr>    1.4.В части 43.2. статьи 43  дополнить абзацем следующего содержания:</vt:lpstr>
      <vt:lpstr>    «- перечень иных межбюджетных трансфертов, предоставляемых из районного бюджета </vt:lpstr>
      <vt:lpstr>    1.5.Раздел X изложить в следующей редакции: </vt:lpstr>
      <vt:lpstr>    «X. МУНИЦИПАЛЬНЫЙ ФИНАНСОВЫЙ КОНТРОЛЬ</vt:lpstr>
      <vt:lpstr>    68. Осуществление муниципального финансового контроля </vt:lpstr>
      <vt:lpstr>    Муниципальный финансовый контроль осуществляется в соответствии с положениями Бю</vt:lpstr>
      <vt:lpstr>    68. Внешний муниципальный финансовый контроль.</vt:lpstr>
      <vt:lpstr>    Внешний муниципальный финансовый контроль осуществляется настоящим Положением, и</vt:lpstr>
      <vt:lpstr>    69. Внутренний муниципальный финансовый контроль </vt:lpstr>
      <vt:lpstr>    69.1. Внутренний муниципальный финансовый контроль осуществляет администрация Кл</vt:lpstr>
      <vt:lpstr>    Администрация Клеповского сельского поселения может издавать ведомственные право</vt:lpstr>
      <vt:lpstr>    69.2. Полномочиями администрации Клеповского сельского поселения по осуществлени</vt:lpstr>
      <vt:lpstr>    - за соблюдением положений правовых актов, регулирующих бюджетные правоотношения</vt:lpstr>
      <vt:lpstr>    - за соблюдением положений правовых актов, обусловливающих публичные нормативные</vt:lpstr>
      <vt:lpstr>    - за соблюдением условий договоров (соглашений), заключенных в целях исполнения </vt:lpstr>
      <vt:lpstr>    - за достоверностью отчетов о результатах предоставления и (или) использования б</vt:lpstr>
      <vt:lpstr>    70. Внутренний финансовый аудит </vt:lpstr>
      <vt:lpstr>    Главные распорядители, распорядители и получатели средств  бюджета Клеповского с</vt:lpstr>
      <vt:lpstr>    1) оценки надежности внутреннего процесса, осуществляемого в целях соблюдения ус</vt:lpstr>
      <vt:lpstr>    2) подтверждения достоверности бюджетной отчетности и соответствия порядка веден</vt:lpstr>
      <vt:lpstr>    3) повышения качества финансового менеджмента.».</vt:lpstr>
    </vt:vector>
  </TitlesOfParts>
  <Company>Reanimator Extreme Edition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2019-12-27T12:18:00Z</cp:lastPrinted>
  <dcterms:created xsi:type="dcterms:W3CDTF">2019-12-27T12:14:00Z</dcterms:created>
  <dcterms:modified xsi:type="dcterms:W3CDTF">2019-12-27T12:31:00Z</dcterms:modified>
</cp:coreProperties>
</file>